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C02" w:rsidRDefault="009B4C02" w:rsidP="002A712A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2F75DE8" wp14:editId="66DA50A4">
            <wp:extent cx="1897130" cy="453224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114" cy="456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4C02" w:rsidRDefault="009B4C02" w:rsidP="002A712A">
      <w:pPr>
        <w:spacing w:after="0" w:line="240" w:lineRule="auto"/>
        <w:rPr>
          <w:rFonts w:ascii="Times New Roman" w:hAnsi="Times New Roman" w:cs="Times New Roman"/>
          <w:b/>
        </w:rPr>
      </w:pPr>
    </w:p>
    <w:p w:rsidR="00776681" w:rsidRPr="002A712A" w:rsidRDefault="00776681" w:rsidP="009B4C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712A">
        <w:rPr>
          <w:rFonts w:ascii="Times New Roman" w:hAnsi="Times New Roman" w:cs="Times New Roman"/>
          <w:b/>
        </w:rPr>
        <w:t>Emergency Medical Services Advisory Group</w:t>
      </w:r>
      <w:r w:rsidR="00A13E80">
        <w:rPr>
          <w:rFonts w:ascii="Times New Roman" w:hAnsi="Times New Roman" w:cs="Times New Roman"/>
          <w:b/>
        </w:rPr>
        <w:t xml:space="preserve"> Charter</w:t>
      </w:r>
    </w:p>
    <w:p w:rsidR="00776681" w:rsidRDefault="00A13E80" w:rsidP="009B4C0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August </w:t>
      </w:r>
      <w:r w:rsidR="009B4C02">
        <w:rPr>
          <w:rFonts w:ascii="Times New Roman" w:hAnsi="Times New Roman" w:cs="Times New Roman"/>
          <w:b/>
        </w:rPr>
        <w:t>2, 2019</w:t>
      </w:r>
    </w:p>
    <w:p w:rsidR="009B4C02" w:rsidRPr="002A712A" w:rsidRDefault="009B4C02" w:rsidP="009B4C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6681" w:rsidRPr="002A712A" w:rsidRDefault="002A712A">
      <w:pPr>
        <w:rPr>
          <w:rFonts w:ascii="Times New Roman" w:hAnsi="Times New Roman" w:cs="Times New Roman"/>
          <w:b/>
          <w:u w:val="single"/>
        </w:rPr>
      </w:pPr>
      <w:r w:rsidRPr="002A712A">
        <w:rPr>
          <w:rFonts w:ascii="Times New Roman" w:hAnsi="Times New Roman" w:cs="Times New Roman"/>
          <w:b/>
        </w:rPr>
        <w:t>Background</w:t>
      </w:r>
      <w:r w:rsidR="00776681" w:rsidRPr="002A712A">
        <w:rPr>
          <w:rFonts w:ascii="Times New Roman" w:hAnsi="Times New Roman" w:cs="Times New Roman"/>
          <w:b/>
          <w:u w:val="single"/>
        </w:rPr>
        <w:t xml:space="preserve">  </w:t>
      </w:r>
    </w:p>
    <w:p w:rsidR="009B4C02" w:rsidRDefault="002A712A" w:rsidP="009B4C02">
      <w:pPr>
        <w:rPr>
          <w:rFonts w:ascii="Times New Roman" w:hAnsi="Times New Roman" w:cs="Times New Roman"/>
        </w:rPr>
      </w:pPr>
      <w:r w:rsidRPr="009B4C02">
        <w:rPr>
          <w:rFonts w:ascii="Times New Roman" w:hAnsi="Times New Roman" w:cs="Times New Roman"/>
        </w:rPr>
        <w:t xml:space="preserve">The Hospital Systems requested </w:t>
      </w:r>
      <w:r w:rsidR="009B4C02">
        <w:rPr>
          <w:rFonts w:ascii="Times New Roman" w:hAnsi="Times New Roman" w:cs="Times New Roman"/>
        </w:rPr>
        <w:t xml:space="preserve">the </w:t>
      </w:r>
      <w:r w:rsidRPr="009B4C02">
        <w:rPr>
          <w:rFonts w:ascii="Times New Roman" w:hAnsi="Times New Roman" w:cs="Times New Roman"/>
        </w:rPr>
        <w:t xml:space="preserve">County </w:t>
      </w:r>
      <w:r w:rsidR="009B4C02">
        <w:rPr>
          <w:rFonts w:ascii="Times New Roman" w:hAnsi="Times New Roman" w:cs="Times New Roman"/>
        </w:rPr>
        <w:t xml:space="preserve">EMS </w:t>
      </w:r>
      <w:r w:rsidRPr="009B4C02">
        <w:rPr>
          <w:rFonts w:ascii="Times New Roman" w:hAnsi="Times New Roman" w:cs="Times New Roman"/>
        </w:rPr>
        <w:t>form an Emergency Medical Care Committee</w:t>
      </w:r>
      <w:r w:rsidR="008339D6" w:rsidRPr="009B4C02">
        <w:rPr>
          <w:rFonts w:ascii="Times New Roman" w:hAnsi="Times New Roman" w:cs="Times New Roman"/>
        </w:rPr>
        <w:t xml:space="preserve"> (EMCC)</w:t>
      </w:r>
      <w:r w:rsidRPr="009B4C02">
        <w:rPr>
          <w:rFonts w:ascii="Times New Roman" w:hAnsi="Times New Roman" w:cs="Times New Roman"/>
        </w:rPr>
        <w:t xml:space="preserve"> during the Proposed Program and Fees stakeholder process.  </w:t>
      </w:r>
      <w:r w:rsidR="009B4C02">
        <w:rPr>
          <w:rFonts w:ascii="Times New Roman" w:hAnsi="Times New Roman" w:cs="Times New Roman"/>
        </w:rPr>
        <w:t xml:space="preserve">The County could not proceed with this type of committee since there are insufficient staff resources but agreed to proceed with an Emergency Medical </w:t>
      </w:r>
      <w:r w:rsidR="00F57A11">
        <w:rPr>
          <w:rFonts w:ascii="Times New Roman" w:hAnsi="Times New Roman" w:cs="Times New Roman"/>
        </w:rPr>
        <w:t>Services Advisory Group</w:t>
      </w:r>
      <w:r w:rsidR="009B4C02">
        <w:rPr>
          <w:rFonts w:ascii="Times New Roman" w:hAnsi="Times New Roman" w:cs="Times New Roman"/>
        </w:rPr>
        <w:t xml:space="preserve">.  </w:t>
      </w:r>
    </w:p>
    <w:p w:rsidR="00DF4E4B" w:rsidRPr="009B4C02" w:rsidRDefault="00DF4E4B" w:rsidP="009B4C02">
      <w:pPr>
        <w:rPr>
          <w:rFonts w:ascii="Times New Roman" w:hAnsi="Times New Roman" w:cs="Times New Roman"/>
          <w:b/>
        </w:rPr>
      </w:pPr>
      <w:r w:rsidRPr="009B4C02">
        <w:rPr>
          <w:rFonts w:ascii="Times New Roman" w:hAnsi="Times New Roman" w:cs="Times New Roman"/>
          <w:b/>
        </w:rPr>
        <w:t xml:space="preserve">Purpose </w:t>
      </w:r>
    </w:p>
    <w:p w:rsidR="00DF4E4B" w:rsidRDefault="00B2445C" w:rsidP="00F57A11">
      <w:pPr>
        <w:rPr>
          <w:rFonts w:ascii="Times New Roman" w:hAnsi="Times New Roman" w:cs="Times New Roman"/>
        </w:rPr>
      </w:pPr>
      <w:r w:rsidRPr="00B2445C">
        <w:rPr>
          <w:rFonts w:ascii="Times New Roman" w:hAnsi="Times New Roman" w:cs="Times New Roman"/>
        </w:rPr>
        <w:t xml:space="preserve">The </w:t>
      </w:r>
      <w:r w:rsidR="00F57A11">
        <w:rPr>
          <w:rFonts w:ascii="Times New Roman" w:hAnsi="Times New Roman" w:cs="Times New Roman"/>
        </w:rPr>
        <w:t xml:space="preserve">Emergency Medical Services </w:t>
      </w:r>
      <w:r w:rsidRPr="00B2445C">
        <w:rPr>
          <w:rFonts w:ascii="Times New Roman" w:hAnsi="Times New Roman" w:cs="Times New Roman"/>
        </w:rPr>
        <w:t>Advisory Group’s miss</w:t>
      </w:r>
      <w:r w:rsidR="00F57A11">
        <w:rPr>
          <w:rFonts w:ascii="Times New Roman" w:hAnsi="Times New Roman" w:cs="Times New Roman"/>
        </w:rPr>
        <w:t xml:space="preserve">ion is to improve the delivery and </w:t>
      </w:r>
      <w:r w:rsidRPr="00B2445C">
        <w:rPr>
          <w:rFonts w:ascii="Times New Roman" w:hAnsi="Times New Roman" w:cs="Times New Roman"/>
        </w:rPr>
        <w:t xml:space="preserve">quality of </w:t>
      </w:r>
      <w:r w:rsidR="00F57A11">
        <w:rPr>
          <w:rFonts w:ascii="Times New Roman" w:hAnsi="Times New Roman" w:cs="Times New Roman"/>
        </w:rPr>
        <w:t>EMS services to Sacramento County residents.</w:t>
      </w:r>
    </w:p>
    <w:p w:rsidR="00776681" w:rsidRDefault="00F57A11" w:rsidP="0077668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Scope of Work</w:t>
      </w:r>
      <w:r w:rsidR="002A712A">
        <w:rPr>
          <w:rFonts w:ascii="Times New Roman" w:hAnsi="Times New Roman" w:cs="Times New Roman"/>
          <w:i/>
        </w:rPr>
        <w:t xml:space="preserve"> </w:t>
      </w:r>
    </w:p>
    <w:p w:rsidR="00F57A11" w:rsidRDefault="00F57A11" w:rsidP="00F57A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work of the Advisory Group will not replace current Committees and Work Groups.  These </w:t>
      </w:r>
      <w:r w:rsidR="0012724F">
        <w:rPr>
          <w:rFonts w:ascii="Times New Roman" w:hAnsi="Times New Roman" w:cs="Times New Roman"/>
        </w:rPr>
        <w:t xml:space="preserve">groups convened by EMS staff and </w:t>
      </w:r>
      <w:r>
        <w:rPr>
          <w:rFonts w:ascii="Times New Roman" w:hAnsi="Times New Roman" w:cs="Times New Roman"/>
        </w:rPr>
        <w:t>are comprised</w:t>
      </w:r>
      <w:r w:rsidR="0012724F">
        <w:rPr>
          <w:rFonts w:ascii="Times New Roman" w:hAnsi="Times New Roman" w:cs="Times New Roman"/>
        </w:rPr>
        <w:t xml:space="preserve"> of EMS stakeholders</w:t>
      </w:r>
      <w:r>
        <w:rPr>
          <w:rFonts w:ascii="Times New Roman" w:hAnsi="Times New Roman" w:cs="Times New Roman"/>
        </w:rPr>
        <w:t>.  They include:</w:t>
      </w:r>
    </w:p>
    <w:p w:rsidR="00F57A11" w:rsidRDefault="00F57A11" w:rsidP="00F57A1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Medical Advisory Committee</w:t>
      </w:r>
    </w:p>
    <w:p w:rsidR="00F57A11" w:rsidRDefault="00F57A11" w:rsidP="00F57A1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Operational Advisory Committee</w:t>
      </w:r>
    </w:p>
    <w:p w:rsidR="00F57A11" w:rsidRDefault="00F57A11" w:rsidP="00F57A1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STEMI Committee</w:t>
      </w:r>
    </w:p>
    <w:p w:rsidR="00F57A11" w:rsidRDefault="00F57A11" w:rsidP="00F57A1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Stroke Committee</w:t>
      </w:r>
    </w:p>
    <w:p w:rsidR="00F57A11" w:rsidRDefault="00F57A11" w:rsidP="00F57A1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Trauma Review Committee</w:t>
      </w:r>
    </w:p>
    <w:p w:rsidR="00F57A11" w:rsidRDefault="00F57A11" w:rsidP="00F57A1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Technical Advisory Group</w:t>
      </w:r>
    </w:p>
    <w:p w:rsidR="00F57A11" w:rsidRPr="00F57A11" w:rsidRDefault="00F57A11" w:rsidP="00F57A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Advisory Group will focus on the following items at a leadership level:</w:t>
      </w:r>
    </w:p>
    <w:p w:rsidR="002A712A" w:rsidRPr="002A712A" w:rsidRDefault="002A712A" w:rsidP="002A71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Program Planning</w:t>
      </w:r>
    </w:p>
    <w:p w:rsidR="002A712A" w:rsidRPr="00F57A11" w:rsidRDefault="002A712A" w:rsidP="002A71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Quality Improvement</w:t>
      </w:r>
    </w:p>
    <w:p w:rsidR="00F57A11" w:rsidRPr="009F226A" w:rsidRDefault="00F57A11" w:rsidP="00F57A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Fiscal Sustainability</w:t>
      </w:r>
    </w:p>
    <w:p w:rsidR="009F226A" w:rsidRPr="00F57A11" w:rsidRDefault="009F226A" w:rsidP="00F57A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Other?</w:t>
      </w:r>
    </w:p>
    <w:p w:rsidR="00F57A11" w:rsidRDefault="00F57A11" w:rsidP="00F57A1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Values</w:t>
      </w:r>
    </w:p>
    <w:p w:rsidR="00F57A11" w:rsidRPr="009F226A" w:rsidRDefault="009F226A" w:rsidP="009F226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Transparency</w:t>
      </w:r>
    </w:p>
    <w:p w:rsidR="009F226A" w:rsidRPr="009F226A" w:rsidRDefault="009F226A" w:rsidP="009F226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Data driven recommendations</w:t>
      </w:r>
    </w:p>
    <w:p w:rsidR="009F226A" w:rsidRPr="009F226A" w:rsidRDefault="009F226A" w:rsidP="009F226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Other?</w:t>
      </w:r>
    </w:p>
    <w:p w:rsidR="009F226A" w:rsidRDefault="009F226A" w:rsidP="009F226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Meeting Guidance</w:t>
      </w:r>
    </w:p>
    <w:p w:rsidR="009F226A" w:rsidRDefault="009F226A" w:rsidP="009F22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Meetings are scheduled and the meeting calendar is posted</w:t>
      </w:r>
      <w:r w:rsidR="0012724F">
        <w:rPr>
          <w:rFonts w:ascii="Times New Roman" w:hAnsi="Times New Roman" w:cs="Times New Roman"/>
        </w:rPr>
        <w:t xml:space="preserve"> on the EMS webpage</w:t>
      </w:r>
      <w:r>
        <w:rPr>
          <w:rFonts w:ascii="Times New Roman" w:hAnsi="Times New Roman" w:cs="Times New Roman"/>
        </w:rPr>
        <w:t>.  Continuity of discussions is essential.  Members are expected to attend all meetings.  Success of this advisory group depends on:</w:t>
      </w:r>
    </w:p>
    <w:p w:rsidR="009F226A" w:rsidRDefault="009F226A" w:rsidP="009F226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Active participation</w:t>
      </w:r>
    </w:p>
    <w:p w:rsidR="009F226A" w:rsidRDefault="009F226A" w:rsidP="009F226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Notifying staff if unable to attend.</w:t>
      </w:r>
    </w:p>
    <w:p w:rsidR="009F226A" w:rsidRDefault="009F226A" w:rsidP="009F226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Provide input from a systems perspective.</w:t>
      </w:r>
    </w:p>
    <w:p w:rsidR="009F226A" w:rsidRDefault="009F226A" w:rsidP="009F226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 subject matter expert.</w:t>
      </w:r>
    </w:p>
    <w:p w:rsidR="00A13E80" w:rsidRDefault="00A13E80" w:rsidP="009F226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Other?</w:t>
      </w:r>
    </w:p>
    <w:p w:rsidR="009F226A" w:rsidRPr="009F226A" w:rsidRDefault="009F226A" w:rsidP="009F22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Meetings will be open and will have designated time for public comment for non-seated individuals.  </w:t>
      </w:r>
    </w:p>
    <w:p w:rsidR="00F57A11" w:rsidRDefault="00F57A11" w:rsidP="00F57A11">
      <w:pPr>
        <w:rPr>
          <w:rFonts w:ascii="Times New Roman" w:hAnsi="Times New Roman" w:cs="Times New Roman"/>
          <w:b/>
        </w:rPr>
      </w:pPr>
      <w:r w:rsidRPr="002A712A">
        <w:rPr>
          <w:rFonts w:ascii="Times New Roman" w:hAnsi="Times New Roman" w:cs="Times New Roman"/>
          <w:b/>
        </w:rPr>
        <w:t>Representation</w:t>
      </w:r>
    </w:p>
    <w:p w:rsidR="00F57A11" w:rsidRDefault="00F57A11" w:rsidP="00F57A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B2445C">
        <w:rPr>
          <w:rFonts w:ascii="Times New Roman" w:hAnsi="Times New Roman" w:cs="Times New Roman"/>
        </w:rPr>
        <w:t>he Emergency Medical Advisory Group (EMAG)</w:t>
      </w:r>
      <w:r>
        <w:rPr>
          <w:rFonts w:ascii="Times New Roman" w:hAnsi="Times New Roman" w:cs="Times New Roman"/>
        </w:rPr>
        <w:t xml:space="preserve"> shall include EMS stakeholder representatives as noted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2970"/>
      </w:tblGrid>
      <w:tr w:rsidR="00F57A11" w:rsidTr="00E35FCD">
        <w:tc>
          <w:tcPr>
            <w:tcW w:w="5755" w:type="dxa"/>
            <w:shd w:val="clear" w:color="auto" w:fill="DEEAF6" w:themeFill="accent1" w:themeFillTint="33"/>
          </w:tcPr>
          <w:p w:rsidR="00F57A11" w:rsidRDefault="00F57A11" w:rsidP="00E35F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Agency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:rsidR="00F57A11" w:rsidRDefault="00F57A11" w:rsidP="00E35F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Seats</w:t>
            </w:r>
          </w:p>
        </w:tc>
      </w:tr>
      <w:tr w:rsidR="00F57A11" w:rsidTr="00E35FCD">
        <w:tc>
          <w:tcPr>
            <w:tcW w:w="5755" w:type="dxa"/>
          </w:tcPr>
          <w:p w:rsidR="00F57A11" w:rsidRPr="002A712A" w:rsidRDefault="00F57A11" w:rsidP="00E35FCD">
            <w:pPr>
              <w:rPr>
                <w:rFonts w:ascii="Times New Roman" w:hAnsi="Times New Roman" w:cs="Times New Roman"/>
              </w:rPr>
            </w:pPr>
            <w:r w:rsidRPr="002A712A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dvanced Life Support (ALS) Ground Transport </w:t>
            </w:r>
            <w:r w:rsidRPr="002A712A">
              <w:rPr>
                <w:rFonts w:ascii="Times New Roman" w:hAnsi="Times New Roman" w:cs="Times New Roman"/>
              </w:rPr>
              <w:t>Providers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0" w:type="dxa"/>
          </w:tcPr>
          <w:p w:rsidR="00F57A11" w:rsidRPr="002A712A" w:rsidRDefault="00F57A11" w:rsidP="00E35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57A11" w:rsidTr="00E35FCD">
        <w:tc>
          <w:tcPr>
            <w:tcW w:w="5755" w:type="dxa"/>
          </w:tcPr>
          <w:p w:rsidR="00F57A11" w:rsidRPr="002A712A" w:rsidRDefault="00F57A11" w:rsidP="00E35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ALS Air Transport Providers</w:t>
            </w:r>
          </w:p>
        </w:tc>
        <w:tc>
          <w:tcPr>
            <w:tcW w:w="2970" w:type="dxa"/>
          </w:tcPr>
          <w:p w:rsidR="00F57A11" w:rsidRDefault="00F57A11" w:rsidP="00E35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57A11" w:rsidTr="00E35FCD">
        <w:tc>
          <w:tcPr>
            <w:tcW w:w="5755" w:type="dxa"/>
          </w:tcPr>
          <w:p w:rsidR="00F57A11" w:rsidRPr="002A712A" w:rsidRDefault="00F57A11" w:rsidP="00E35FCD">
            <w:pPr>
              <w:rPr>
                <w:rFonts w:ascii="Times New Roman" w:hAnsi="Times New Roman" w:cs="Times New Roman"/>
              </w:rPr>
            </w:pPr>
            <w:r w:rsidRPr="002A712A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ase Life Support (B</w:t>
            </w:r>
            <w:r w:rsidRPr="002A712A">
              <w:rPr>
                <w:rFonts w:ascii="Times New Roman" w:hAnsi="Times New Roman" w:cs="Times New Roman"/>
              </w:rPr>
              <w:t>LS</w:t>
            </w:r>
            <w:r>
              <w:rPr>
                <w:rFonts w:ascii="Times New Roman" w:hAnsi="Times New Roman" w:cs="Times New Roman"/>
              </w:rPr>
              <w:t>)</w:t>
            </w:r>
            <w:r w:rsidRPr="002A712A">
              <w:rPr>
                <w:rFonts w:ascii="Times New Roman" w:hAnsi="Times New Roman" w:cs="Times New Roman"/>
              </w:rPr>
              <w:t xml:space="preserve"> Provider</w:t>
            </w:r>
          </w:p>
        </w:tc>
        <w:tc>
          <w:tcPr>
            <w:tcW w:w="2970" w:type="dxa"/>
          </w:tcPr>
          <w:p w:rsidR="00F57A11" w:rsidRPr="002A712A" w:rsidRDefault="00F57A11" w:rsidP="00E35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57A11" w:rsidTr="00E35FCD">
        <w:tc>
          <w:tcPr>
            <w:tcW w:w="5755" w:type="dxa"/>
          </w:tcPr>
          <w:p w:rsidR="00F57A11" w:rsidRPr="002A712A" w:rsidRDefault="00F57A11" w:rsidP="00E35FCD">
            <w:pPr>
              <w:rPr>
                <w:rFonts w:ascii="Times New Roman" w:hAnsi="Times New Roman" w:cs="Times New Roman"/>
              </w:rPr>
            </w:pPr>
            <w:r w:rsidRPr="002A712A">
              <w:rPr>
                <w:rFonts w:ascii="Times New Roman" w:hAnsi="Times New Roman" w:cs="Times New Roman"/>
              </w:rPr>
              <w:t>Training Provider</w:t>
            </w:r>
          </w:p>
        </w:tc>
        <w:tc>
          <w:tcPr>
            <w:tcW w:w="2970" w:type="dxa"/>
          </w:tcPr>
          <w:p w:rsidR="00F57A11" w:rsidRPr="002A712A" w:rsidRDefault="00F57A11" w:rsidP="00E35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57A11" w:rsidTr="00E35FCD">
        <w:tc>
          <w:tcPr>
            <w:tcW w:w="5755" w:type="dxa"/>
          </w:tcPr>
          <w:p w:rsidR="00F57A11" w:rsidRPr="002A712A" w:rsidRDefault="00F57A11" w:rsidP="00E35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Hospital Systems</w:t>
            </w:r>
          </w:p>
        </w:tc>
        <w:tc>
          <w:tcPr>
            <w:tcW w:w="2970" w:type="dxa"/>
          </w:tcPr>
          <w:p w:rsidR="00F57A11" w:rsidRDefault="00F57A11" w:rsidP="00E35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57A11" w:rsidTr="00E35FCD">
        <w:tc>
          <w:tcPr>
            <w:tcW w:w="5755" w:type="dxa"/>
          </w:tcPr>
          <w:p w:rsidR="00F57A11" w:rsidRPr="002A712A" w:rsidRDefault="00F57A11" w:rsidP="00E35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Law Enforcement</w:t>
            </w:r>
          </w:p>
        </w:tc>
        <w:tc>
          <w:tcPr>
            <w:tcW w:w="2970" w:type="dxa"/>
          </w:tcPr>
          <w:p w:rsidR="00F57A11" w:rsidRDefault="00F57A11" w:rsidP="00E35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57A11" w:rsidTr="00E35FCD">
        <w:tc>
          <w:tcPr>
            <w:tcW w:w="5755" w:type="dxa"/>
          </w:tcPr>
          <w:p w:rsidR="00F57A11" w:rsidRDefault="00F57A11" w:rsidP="00E35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Sierra Sacramento Medical Society</w:t>
            </w:r>
          </w:p>
        </w:tc>
        <w:tc>
          <w:tcPr>
            <w:tcW w:w="2970" w:type="dxa"/>
          </w:tcPr>
          <w:p w:rsidR="00F57A11" w:rsidRDefault="00F57A11" w:rsidP="00E35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57A11" w:rsidTr="00E35FCD">
        <w:tc>
          <w:tcPr>
            <w:tcW w:w="5755" w:type="dxa"/>
          </w:tcPr>
          <w:p w:rsidR="00F57A11" w:rsidRPr="002A712A" w:rsidRDefault="00F57A11" w:rsidP="00E35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DHS Primary Health / EMS</w:t>
            </w:r>
          </w:p>
        </w:tc>
        <w:tc>
          <w:tcPr>
            <w:tcW w:w="2970" w:type="dxa"/>
          </w:tcPr>
          <w:p w:rsidR="00F57A11" w:rsidRDefault="00F57A11" w:rsidP="00E35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57A11" w:rsidTr="00E35FCD">
        <w:tc>
          <w:tcPr>
            <w:tcW w:w="5755" w:type="dxa"/>
          </w:tcPr>
          <w:p w:rsidR="00F57A11" w:rsidRDefault="00F57A11" w:rsidP="00E35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2970" w:type="dxa"/>
          </w:tcPr>
          <w:p w:rsidR="00F57A11" w:rsidRDefault="00F57A11" w:rsidP="00E35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</w:tbl>
    <w:p w:rsidR="00F57A11" w:rsidRDefault="00F57A11">
      <w:pPr>
        <w:rPr>
          <w:rFonts w:ascii="Times New Roman" w:hAnsi="Times New Roman" w:cs="Times New Roman"/>
          <w:b/>
        </w:rPr>
      </w:pPr>
    </w:p>
    <w:p w:rsidR="009555A8" w:rsidRDefault="009555A8">
      <w:pPr>
        <w:rPr>
          <w:rFonts w:ascii="Times New Roman" w:hAnsi="Times New Roman" w:cs="Times New Roman"/>
          <w:b/>
        </w:rPr>
      </w:pPr>
    </w:p>
    <w:sectPr w:rsidR="009555A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26A" w:rsidRDefault="009F226A" w:rsidP="009F226A">
      <w:pPr>
        <w:spacing w:after="0" w:line="240" w:lineRule="auto"/>
      </w:pPr>
      <w:r>
        <w:separator/>
      </w:r>
    </w:p>
  </w:endnote>
  <w:endnote w:type="continuationSeparator" w:id="0">
    <w:p w:rsidR="009F226A" w:rsidRDefault="009F226A" w:rsidP="009F2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26A" w:rsidRDefault="009F226A" w:rsidP="009F226A">
      <w:pPr>
        <w:spacing w:after="0" w:line="240" w:lineRule="auto"/>
      </w:pPr>
      <w:r>
        <w:separator/>
      </w:r>
    </w:p>
  </w:footnote>
  <w:footnote w:type="continuationSeparator" w:id="0">
    <w:p w:rsidR="009F226A" w:rsidRDefault="009F226A" w:rsidP="009F2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179052"/>
      <w:docPartObj>
        <w:docPartGallery w:val="Watermarks"/>
        <w:docPartUnique/>
      </w:docPartObj>
    </w:sdtPr>
    <w:sdtEndPr/>
    <w:sdtContent>
      <w:p w:rsidR="009F226A" w:rsidRDefault="00B46431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1591"/>
    <w:multiLevelType w:val="hybridMultilevel"/>
    <w:tmpl w:val="2A0EA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43557"/>
    <w:multiLevelType w:val="hybridMultilevel"/>
    <w:tmpl w:val="FB048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522D0"/>
    <w:multiLevelType w:val="hybridMultilevel"/>
    <w:tmpl w:val="8A960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A3128"/>
    <w:multiLevelType w:val="hybridMultilevel"/>
    <w:tmpl w:val="0650A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06CB1"/>
    <w:multiLevelType w:val="hybridMultilevel"/>
    <w:tmpl w:val="337C9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BF43D8"/>
    <w:multiLevelType w:val="hybridMultilevel"/>
    <w:tmpl w:val="D24E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87B"/>
    <w:rsid w:val="0012724F"/>
    <w:rsid w:val="002A712A"/>
    <w:rsid w:val="004C03C0"/>
    <w:rsid w:val="005D1920"/>
    <w:rsid w:val="006554C4"/>
    <w:rsid w:val="00682433"/>
    <w:rsid w:val="00692B97"/>
    <w:rsid w:val="00776681"/>
    <w:rsid w:val="007F187B"/>
    <w:rsid w:val="008339D6"/>
    <w:rsid w:val="009555A8"/>
    <w:rsid w:val="009B4C02"/>
    <w:rsid w:val="009F226A"/>
    <w:rsid w:val="00A13E80"/>
    <w:rsid w:val="00B2445C"/>
    <w:rsid w:val="00B46431"/>
    <w:rsid w:val="00C74E3B"/>
    <w:rsid w:val="00CD0C9B"/>
    <w:rsid w:val="00DF4E4B"/>
    <w:rsid w:val="00F5411B"/>
    <w:rsid w:val="00F5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47A418C-CAFD-4A8A-AAF0-FB99B4CD3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12A"/>
    <w:pPr>
      <w:ind w:left="720"/>
      <w:contextualSpacing/>
    </w:pPr>
  </w:style>
  <w:style w:type="table" w:styleId="TableGrid">
    <w:name w:val="Table Grid"/>
    <w:basedOn w:val="TableNormal"/>
    <w:uiPriority w:val="39"/>
    <w:rsid w:val="002A7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22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26A"/>
  </w:style>
  <w:style w:type="paragraph" w:styleId="Footer">
    <w:name w:val="footer"/>
    <w:basedOn w:val="Normal"/>
    <w:link w:val="FooterChar"/>
    <w:uiPriority w:val="99"/>
    <w:unhideWhenUsed/>
    <w:rsid w:val="009F22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A88D7EBB629947BD37FC410CD0D0D1" ma:contentTypeVersion="1" ma:contentTypeDescription="Create a new document." ma:contentTypeScope="" ma:versionID="ae33f66cae60fc5c7e39c7d618f4dea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50d43bf0be583304e280f4717a398a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E21FA8-51BA-4D8A-988B-5E982A1F175A}"/>
</file>

<file path=customXml/itemProps2.xml><?xml version="1.0" encoding="utf-8"?>
<ds:datastoreItem xmlns:ds="http://schemas.openxmlformats.org/officeDocument/2006/customXml" ds:itemID="{49551932-55C1-41F0-8B5F-3D9C9837FD70}"/>
</file>

<file path=customXml/itemProps3.xml><?xml version="1.0" encoding="utf-8"?>
<ds:datastoreItem xmlns:ds="http://schemas.openxmlformats.org/officeDocument/2006/customXml" ds:itemID="{4A5AAC8F-C369-4083-AB15-FF87B3EB1E5D}"/>
</file>

<file path=customXml/itemProps4.xml><?xml version="1.0" encoding="utf-8"?>
<ds:datastoreItem xmlns:ds="http://schemas.openxmlformats.org/officeDocument/2006/customXml" ds:itemID="{05614007-A6C4-455B-9231-570A883471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Sacramento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Damiano. Sandy</dc:creator>
  <cp:keywords/>
  <dc:description/>
  <cp:lastModifiedBy>Chambers. Sherri</cp:lastModifiedBy>
  <cp:revision>2</cp:revision>
  <dcterms:created xsi:type="dcterms:W3CDTF">2019-08-07T16:50:00Z</dcterms:created>
  <dcterms:modified xsi:type="dcterms:W3CDTF">2019-08-07T16:50:00Z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0x01010043A88D7EBB629947BD37FC410CD0D0D1</vt:lpwstr>
  </property>
</Properties>
</file>