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harts/style3.xml" ContentType="application/vnd.ms-office.chartstyle+xml"/>
  <Override PartName="/word/charts/chart3.xml" ContentType="application/vnd.openxmlformats-officedocument.drawingml.chart+xml"/>
  <Override PartName="/word/charts/colors2.xml" ContentType="application/vnd.ms-office.chartcolorstyle+xml"/>
  <Override PartName="/word/charts/colors3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style1.xml" ContentType="application/vnd.ms-office.chartstyle+xml"/>
  <Override PartName="/word/charts/colors1.xml" ContentType="application/vnd.ms-office.chartcolorstyl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8E157" w14:textId="77777777" w:rsidR="000408B9" w:rsidRDefault="000408B9" w:rsidP="00D825F7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3D70F95" wp14:editId="3C7D8026">
            <wp:extent cx="2065020" cy="493333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561" cy="493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99893" w14:textId="77777777" w:rsidR="000408B9" w:rsidRDefault="000408B9" w:rsidP="00D825F7">
      <w:pPr>
        <w:spacing w:after="0" w:line="240" w:lineRule="auto"/>
        <w:rPr>
          <w:rFonts w:ascii="Arial" w:hAnsi="Arial" w:cs="Arial"/>
          <w:b/>
        </w:rPr>
      </w:pPr>
    </w:p>
    <w:p w14:paraId="727F34AA" w14:textId="77777777" w:rsidR="00D865A1" w:rsidRDefault="00D865A1" w:rsidP="00E62BC7">
      <w:pPr>
        <w:spacing w:after="0" w:line="240" w:lineRule="auto"/>
        <w:jc w:val="center"/>
        <w:rPr>
          <w:rFonts w:ascii="Arial" w:hAnsi="Arial" w:cs="Arial"/>
          <w:b/>
        </w:rPr>
      </w:pPr>
    </w:p>
    <w:p w14:paraId="151441F1" w14:textId="77777777" w:rsidR="000408B9" w:rsidRDefault="00D825F7" w:rsidP="00E62BC7">
      <w:pPr>
        <w:spacing w:after="0" w:line="240" w:lineRule="auto"/>
        <w:jc w:val="center"/>
        <w:rPr>
          <w:rFonts w:ascii="Arial" w:hAnsi="Arial" w:cs="Arial"/>
          <w:b/>
        </w:rPr>
      </w:pPr>
      <w:r w:rsidRPr="00587DAF">
        <w:rPr>
          <w:rFonts w:ascii="Arial" w:hAnsi="Arial" w:cs="Arial"/>
          <w:b/>
        </w:rPr>
        <w:t>Emergency Medical Services (EMS) Funding</w:t>
      </w:r>
    </w:p>
    <w:p w14:paraId="4532687B" w14:textId="1218A61F" w:rsidR="00D825F7" w:rsidRPr="00587DAF" w:rsidRDefault="00BF599B" w:rsidP="00E62BC7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November </w:t>
      </w:r>
      <w:r w:rsidR="00D825F7" w:rsidRPr="00587DAF">
        <w:rPr>
          <w:rFonts w:ascii="Arial" w:hAnsi="Arial" w:cs="Arial"/>
          <w:b/>
        </w:rPr>
        <w:t>2019</w:t>
      </w:r>
    </w:p>
    <w:p w14:paraId="39DF1DC9" w14:textId="77777777" w:rsidR="00E57DB2" w:rsidRPr="00587DAF" w:rsidRDefault="00E57DB2" w:rsidP="00E57DB2">
      <w:pPr>
        <w:spacing w:line="240" w:lineRule="auto"/>
        <w:rPr>
          <w:rFonts w:ascii="Arial" w:hAnsi="Arial" w:cs="Arial"/>
          <w:b/>
        </w:rPr>
      </w:pPr>
    </w:p>
    <w:p w14:paraId="3F867F76" w14:textId="77777777" w:rsidR="00587DAF" w:rsidRDefault="00D825F7" w:rsidP="00587DAF">
      <w:pPr>
        <w:spacing w:line="240" w:lineRule="auto"/>
        <w:rPr>
          <w:rFonts w:ascii="Arial" w:hAnsi="Arial" w:cs="Arial"/>
        </w:rPr>
      </w:pPr>
      <w:r w:rsidRPr="00587DAF">
        <w:rPr>
          <w:rFonts w:ascii="Arial" w:hAnsi="Arial" w:cs="Arial"/>
        </w:rPr>
        <w:t xml:space="preserve">During the Proposed EMS Fees stakeholder processes, stakeholders requested the EMS Advisory Group discuss sustainable funding sources.  </w:t>
      </w:r>
    </w:p>
    <w:p w14:paraId="25D4AABC" w14:textId="77777777" w:rsidR="00E57DB2" w:rsidRPr="00587DAF" w:rsidRDefault="00E57DB2" w:rsidP="00587DAF">
      <w:pPr>
        <w:spacing w:line="240" w:lineRule="auto"/>
        <w:rPr>
          <w:rFonts w:ascii="Arial" w:hAnsi="Arial" w:cs="Arial"/>
        </w:rPr>
      </w:pPr>
    </w:p>
    <w:p w14:paraId="6AA6B21B" w14:textId="7055BA94" w:rsidR="00D825F7" w:rsidRPr="00587DAF" w:rsidRDefault="00D825F7" w:rsidP="00D825F7">
      <w:pPr>
        <w:rPr>
          <w:rFonts w:ascii="Arial" w:hAnsi="Arial" w:cs="Arial"/>
        </w:rPr>
      </w:pPr>
      <w:r w:rsidRPr="00587DAF">
        <w:rPr>
          <w:rFonts w:ascii="Arial" w:hAnsi="Arial" w:cs="Arial"/>
          <w:b/>
          <w:u w:val="single"/>
        </w:rPr>
        <w:t>Funding</w:t>
      </w:r>
      <w:r w:rsidRPr="00587DAF">
        <w:rPr>
          <w:rFonts w:ascii="Arial" w:hAnsi="Arial" w:cs="Arial"/>
        </w:rPr>
        <w:t xml:space="preserve">: </w:t>
      </w:r>
      <w:r w:rsidR="00587DAF" w:rsidRPr="00587DAF">
        <w:rPr>
          <w:rFonts w:ascii="Arial" w:hAnsi="Arial" w:cs="Arial"/>
        </w:rPr>
        <w:t>EMS Agency</w:t>
      </w:r>
      <w:r w:rsidRPr="00587DAF">
        <w:rPr>
          <w:rFonts w:ascii="Arial" w:hAnsi="Arial" w:cs="Arial"/>
        </w:rPr>
        <w:t xml:space="preserve"> funding </w:t>
      </w:r>
      <w:r w:rsidR="000408B9" w:rsidRPr="00587DAF">
        <w:rPr>
          <w:rFonts w:ascii="Arial" w:hAnsi="Arial" w:cs="Arial"/>
        </w:rPr>
        <w:t>includes</w:t>
      </w:r>
      <w:r w:rsidRPr="00587DAF">
        <w:rPr>
          <w:rFonts w:ascii="Arial" w:hAnsi="Arial" w:cs="Arial"/>
        </w:rPr>
        <w:t xml:space="preserve"> Vehicle Code F</w:t>
      </w:r>
      <w:r w:rsidR="00DC2E15" w:rsidRPr="00587DAF">
        <w:rPr>
          <w:rFonts w:ascii="Arial" w:hAnsi="Arial" w:cs="Arial"/>
        </w:rPr>
        <w:t>ines</w:t>
      </w:r>
      <w:r w:rsidRPr="00587DAF">
        <w:rPr>
          <w:rFonts w:ascii="Arial" w:hAnsi="Arial" w:cs="Arial"/>
        </w:rPr>
        <w:t xml:space="preserve"> (VCF) revenue (7</w:t>
      </w:r>
      <w:r w:rsidR="00AD7385">
        <w:rPr>
          <w:rFonts w:ascii="Arial" w:hAnsi="Arial" w:cs="Arial"/>
        </w:rPr>
        <w:t>7</w:t>
      </w:r>
      <w:r w:rsidRPr="00587DAF">
        <w:rPr>
          <w:rFonts w:ascii="Arial" w:hAnsi="Arial" w:cs="Arial"/>
        </w:rPr>
        <w:t xml:space="preserve"> percent), program and personnel fees (18 percent), </w:t>
      </w:r>
      <w:r w:rsidR="00AD7385">
        <w:rPr>
          <w:rFonts w:ascii="Arial" w:hAnsi="Arial" w:cs="Arial"/>
        </w:rPr>
        <w:t xml:space="preserve">and </w:t>
      </w:r>
      <w:r w:rsidR="009E3019">
        <w:rPr>
          <w:rFonts w:ascii="Arial" w:hAnsi="Arial" w:cs="Arial"/>
        </w:rPr>
        <w:t xml:space="preserve">County </w:t>
      </w:r>
      <w:r w:rsidRPr="00587DAF">
        <w:rPr>
          <w:rFonts w:ascii="Arial" w:hAnsi="Arial" w:cs="Arial"/>
        </w:rPr>
        <w:t>General Fund (five percent</w:t>
      </w:r>
      <w:r w:rsidR="00AD7385">
        <w:rPr>
          <w:rFonts w:ascii="Arial" w:hAnsi="Arial" w:cs="Arial"/>
        </w:rPr>
        <w:t>)</w:t>
      </w:r>
      <w:r w:rsidRPr="00587DAF">
        <w:rPr>
          <w:rFonts w:ascii="Arial" w:hAnsi="Arial" w:cs="Arial"/>
        </w:rPr>
        <w:t xml:space="preserve">.   </w:t>
      </w:r>
    </w:p>
    <w:p w14:paraId="180B9E69" w14:textId="77777777" w:rsidR="00D825F7" w:rsidRPr="00587DAF" w:rsidRDefault="00D825F7" w:rsidP="00D825F7">
      <w:pPr>
        <w:rPr>
          <w:rFonts w:ascii="Arial" w:hAnsi="Arial" w:cs="Arial"/>
        </w:rPr>
      </w:pPr>
      <w:r w:rsidRPr="00587DAF">
        <w:rPr>
          <w:rFonts w:ascii="Arial" w:hAnsi="Arial" w:cs="Arial"/>
          <w:b/>
          <w:u w:val="single"/>
        </w:rPr>
        <w:t>VCF Revenue</w:t>
      </w:r>
      <w:r w:rsidRPr="00587DAF">
        <w:rPr>
          <w:rFonts w:ascii="Arial" w:hAnsi="Arial" w:cs="Arial"/>
        </w:rPr>
        <w:t>: is also known as the Maddy</w:t>
      </w:r>
      <w:r w:rsidR="00072DAA" w:rsidRPr="00587DAF">
        <w:rPr>
          <w:rFonts w:ascii="Arial" w:hAnsi="Arial" w:cs="Arial"/>
        </w:rPr>
        <w:t>/Richie</w:t>
      </w:r>
      <w:r w:rsidRPr="00587DAF">
        <w:rPr>
          <w:rFonts w:ascii="Arial" w:hAnsi="Arial" w:cs="Arial"/>
        </w:rPr>
        <w:t xml:space="preserve"> EMS Fund and is the primary reve</w:t>
      </w:r>
      <w:r w:rsidR="00587DAF" w:rsidRPr="00587DAF">
        <w:rPr>
          <w:rFonts w:ascii="Arial" w:hAnsi="Arial" w:cs="Arial"/>
        </w:rPr>
        <w:t>nue source.  Unfortunately, VCF</w:t>
      </w:r>
      <w:r w:rsidRPr="00587DAF">
        <w:rPr>
          <w:rFonts w:ascii="Arial" w:hAnsi="Arial" w:cs="Arial"/>
        </w:rPr>
        <w:t xml:space="preserve"> revenue is steadily declining and is not anticipated to recover.  This is due to legislative changes affecting the Courts’ ability to collect on the vehicle code fines.</w:t>
      </w:r>
    </w:p>
    <w:p w14:paraId="10C8EB81" w14:textId="66A4F645" w:rsidR="00D825F7" w:rsidRPr="00587DAF" w:rsidRDefault="005E5952" w:rsidP="00D825F7">
      <w:pPr>
        <w:rPr>
          <w:rFonts w:ascii="Arial" w:hAnsi="Arial" w:cs="Arial"/>
        </w:rPr>
      </w:pPr>
      <w:r w:rsidRPr="00587DAF">
        <w:rPr>
          <w:rFonts w:ascii="Arial" w:hAnsi="Arial" w:cs="Arial"/>
        </w:rPr>
        <w:t>Per the Health and Safety Code, t</w:t>
      </w:r>
      <w:r w:rsidR="00F5260F" w:rsidRPr="00587DAF">
        <w:rPr>
          <w:rFonts w:ascii="Arial" w:hAnsi="Arial" w:cs="Arial"/>
        </w:rPr>
        <w:t xml:space="preserve">he </w:t>
      </w:r>
      <w:r w:rsidR="00D825F7" w:rsidRPr="00587DAF">
        <w:rPr>
          <w:rFonts w:ascii="Arial" w:hAnsi="Arial" w:cs="Arial"/>
        </w:rPr>
        <w:t xml:space="preserve">majority of the </w:t>
      </w:r>
      <w:r w:rsidR="00F5260F" w:rsidRPr="00587DAF">
        <w:rPr>
          <w:rFonts w:ascii="Arial" w:hAnsi="Arial" w:cs="Arial"/>
        </w:rPr>
        <w:t>VCF revenue is distributed to trauma hospitals and emergency service physic</w:t>
      </w:r>
      <w:r w:rsidR="008B4BFC" w:rsidRPr="00587DAF">
        <w:rPr>
          <w:rFonts w:ascii="Arial" w:hAnsi="Arial" w:cs="Arial"/>
        </w:rPr>
        <w:t>ians</w:t>
      </w:r>
      <w:r w:rsidRPr="00587DAF">
        <w:rPr>
          <w:rFonts w:ascii="Arial" w:hAnsi="Arial" w:cs="Arial"/>
        </w:rPr>
        <w:t xml:space="preserve"> </w:t>
      </w:r>
      <w:r w:rsidR="00D825F7" w:rsidRPr="00587DAF">
        <w:rPr>
          <w:rFonts w:ascii="Arial" w:hAnsi="Arial" w:cs="Arial"/>
        </w:rPr>
        <w:t xml:space="preserve">with </w:t>
      </w:r>
      <w:r w:rsidRPr="00587DAF">
        <w:rPr>
          <w:rFonts w:ascii="Arial" w:hAnsi="Arial" w:cs="Arial"/>
        </w:rPr>
        <w:t xml:space="preserve">a small percentage </w:t>
      </w:r>
      <w:r w:rsidR="00D825F7" w:rsidRPr="00587DAF">
        <w:rPr>
          <w:rFonts w:ascii="Arial" w:hAnsi="Arial" w:cs="Arial"/>
        </w:rPr>
        <w:t>allocated to the EMS Agency</w:t>
      </w:r>
      <w:r w:rsidR="008B4BFC" w:rsidRPr="00587DAF">
        <w:rPr>
          <w:rFonts w:ascii="Arial" w:hAnsi="Arial" w:cs="Arial"/>
        </w:rPr>
        <w:t>.</w:t>
      </w:r>
      <w:r w:rsidR="00D144B0" w:rsidRPr="00587DAF">
        <w:rPr>
          <w:rFonts w:ascii="Arial" w:hAnsi="Arial" w:cs="Arial"/>
        </w:rPr>
        <w:t xml:space="preserve"> </w:t>
      </w:r>
      <w:r w:rsidR="00D825F7" w:rsidRPr="00587DAF">
        <w:rPr>
          <w:rFonts w:ascii="Arial" w:hAnsi="Arial" w:cs="Arial"/>
        </w:rPr>
        <w:t xml:space="preserve"> The chart below illustrate</w:t>
      </w:r>
      <w:r w:rsidR="00342275" w:rsidRPr="00587DAF">
        <w:rPr>
          <w:rFonts w:ascii="Arial" w:hAnsi="Arial" w:cs="Arial"/>
        </w:rPr>
        <w:t>s</w:t>
      </w:r>
      <w:r w:rsidR="009E3019">
        <w:rPr>
          <w:rFonts w:ascii="Arial" w:hAnsi="Arial" w:cs="Arial"/>
        </w:rPr>
        <w:t xml:space="preserve"> the</w:t>
      </w:r>
      <w:r w:rsidR="00D825F7" w:rsidRPr="00587DAF">
        <w:rPr>
          <w:rFonts w:ascii="Arial" w:hAnsi="Arial" w:cs="Arial"/>
        </w:rPr>
        <w:t xml:space="preserve"> Fiscal Year</w:t>
      </w:r>
      <w:r w:rsidR="00587DAF" w:rsidRPr="00587DAF">
        <w:rPr>
          <w:rFonts w:ascii="Arial" w:hAnsi="Arial" w:cs="Arial"/>
        </w:rPr>
        <w:t xml:space="preserve"> (FY) 2018-19 final VCF revenue / </w:t>
      </w:r>
      <w:r w:rsidR="00D825F7" w:rsidRPr="00587DAF">
        <w:rPr>
          <w:rFonts w:ascii="Arial" w:hAnsi="Arial" w:cs="Arial"/>
        </w:rPr>
        <w:t>distributions and the remaining revenue available to the EMS program.</w:t>
      </w:r>
    </w:p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5035"/>
        <w:gridCol w:w="2157"/>
        <w:gridCol w:w="2158"/>
      </w:tblGrid>
      <w:tr w:rsidR="00D825F7" w:rsidRPr="00587DAF" w14:paraId="1D135641" w14:textId="77777777" w:rsidTr="00E627DF">
        <w:trPr>
          <w:trHeight w:val="557"/>
          <w:jc w:val="center"/>
        </w:trPr>
        <w:tc>
          <w:tcPr>
            <w:tcW w:w="5035" w:type="dxa"/>
            <w:shd w:val="clear" w:color="auto" w:fill="DEEAF6" w:themeFill="accent1" w:themeFillTint="33"/>
            <w:noWrap/>
            <w:vAlign w:val="center"/>
            <w:hideMark/>
          </w:tcPr>
          <w:p w14:paraId="06FF60AD" w14:textId="77777777" w:rsidR="00ED6B60" w:rsidRPr="00587DAF" w:rsidRDefault="00ED6B60" w:rsidP="00DC2E15">
            <w:pPr>
              <w:rPr>
                <w:rFonts w:ascii="Arial" w:hAnsi="Arial" w:cs="Arial"/>
                <w:b/>
                <w:bCs/>
              </w:rPr>
            </w:pPr>
            <w:r w:rsidRPr="00587DAF">
              <w:rPr>
                <w:rFonts w:ascii="Arial" w:hAnsi="Arial" w:cs="Arial"/>
                <w:b/>
                <w:bCs/>
              </w:rPr>
              <w:t>VCF Revenue &amp; Distribution:</w:t>
            </w:r>
          </w:p>
        </w:tc>
        <w:tc>
          <w:tcPr>
            <w:tcW w:w="2157" w:type="dxa"/>
            <w:shd w:val="clear" w:color="auto" w:fill="DEEAF6" w:themeFill="accent1" w:themeFillTint="33"/>
            <w:vAlign w:val="center"/>
            <w:hideMark/>
          </w:tcPr>
          <w:p w14:paraId="03011ECF" w14:textId="77777777" w:rsidR="00AD7385" w:rsidRDefault="00D825F7" w:rsidP="00DC2E15">
            <w:pPr>
              <w:jc w:val="center"/>
              <w:rPr>
                <w:rFonts w:ascii="Arial" w:hAnsi="Arial" w:cs="Arial"/>
                <w:b/>
                <w:bCs/>
              </w:rPr>
            </w:pPr>
            <w:r w:rsidRPr="00587DAF">
              <w:rPr>
                <w:rFonts w:ascii="Arial" w:hAnsi="Arial" w:cs="Arial"/>
                <w:b/>
                <w:bCs/>
              </w:rPr>
              <w:t xml:space="preserve">FY </w:t>
            </w:r>
            <w:r w:rsidR="00342275" w:rsidRPr="00587DAF">
              <w:rPr>
                <w:rFonts w:ascii="Arial" w:hAnsi="Arial" w:cs="Arial"/>
                <w:b/>
                <w:bCs/>
              </w:rPr>
              <w:t>20</w:t>
            </w:r>
            <w:r w:rsidRPr="00587DAF">
              <w:rPr>
                <w:rFonts w:ascii="Arial" w:hAnsi="Arial" w:cs="Arial"/>
                <w:b/>
                <w:bCs/>
              </w:rPr>
              <w:t>18-19</w:t>
            </w:r>
          </w:p>
          <w:p w14:paraId="0E2C71CA" w14:textId="23E3C152" w:rsidR="00D825F7" w:rsidRPr="00587DAF" w:rsidRDefault="00B42D2C" w:rsidP="00DC2E1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Final</w:t>
            </w:r>
          </w:p>
        </w:tc>
        <w:tc>
          <w:tcPr>
            <w:tcW w:w="2158" w:type="dxa"/>
            <w:shd w:val="clear" w:color="auto" w:fill="DEEAF6" w:themeFill="accent1" w:themeFillTint="33"/>
          </w:tcPr>
          <w:p w14:paraId="5A161AEA" w14:textId="77777777" w:rsidR="00D825F7" w:rsidRPr="00587DAF" w:rsidDel="007262BD" w:rsidRDefault="00D825F7" w:rsidP="00763AF5">
            <w:pPr>
              <w:jc w:val="center"/>
              <w:rPr>
                <w:rFonts w:ascii="Arial" w:hAnsi="Arial" w:cs="Arial"/>
                <w:b/>
                <w:bCs/>
              </w:rPr>
            </w:pPr>
            <w:r w:rsidRPr="00587DAF">
              <w:rPr>
                <w:rFonts w:ascii="Arial" w:hAnsi="Arial" w:cs="Arial"/>
                <w:b/>
                <w:bCs/>
              </w:rPr>
              <w:t xml:space="preserve">Percentage of VCF Allocated </w:t>
            </w:r>
          </w:p>
        </w:tc>
      </w:tr>
      <w:tr w:rsidR="00D825F7" w:rsidRPr="00587DAF" w14:paraId="3FD46263" w14:textId="77777777" w:rsidTr="00E627DF">
        <w:trPr>
          <w:trHeight w:val="346"/>
          <w:jc w:val="center"/>
        </w:trPr>
        <w:tc>
          <w:tcPr>
            <w:tcW w:w="5035" w:type="dxa"/>
            <w:noWrap/>
            <w:vAlign w:val="center"/>
            <w:hideMark/>
          </w:tcPr>
          <w:p w14:paraId="09E0CDE3" w14:textId="77777777" w:rsidR="00D825F7" w:rsidRPr="00587DAF" w:rsidRDefault="00ED6B60" w:rsidP="00E627DF">
            <w:pPr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 xml:space="preserve">Total </w:t>
            </w:r>
            <w:r w:rsidR="00D825F7" w:rsidRPr="00587DAF">
              <w:rPr>
                <w:rFonts w:ascii="Arial" w:hAnsi="Arial" w:cs="Arial"/>
              </w:rPr>
              <w:t xml:space="preserve">VCF Revenue </w:t>
            </w:r>
          </w:p>
        </w:tc>
        <w:tc>
          <w:tcPr>
            <w:tcW w:w="2157" w:type="dxa"/>
            <w:noWrap/>
            <w:vAlign w:val="center"/>
            <w:hideMark/>
          </w:tcPr>
          <w:p w14:paraId="104741E1" w14:textId="77777777" w:rsidR="00D825F7" w:rsidRPr="00587DAF" w:rsidRDefault="00D825F7" w:rsidP="00E627D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$1,936,102</w:t>
            </w:r>
          </w:p>
        </w:tc>
        <w:tc>
          <w:tcPr>
            <w:tcW w:w="2158" w:type="dxa"/>
            <w:vAlign w:val="center"/>
          </w:tcPr>
          <w:p w14:paraId="18B701FF" w14:textId="77777777" w:rsidR="00D825F7" w:rsidRPr="00587DAF" w:rsidDel="007262BD" w:rsidRDefault="00D825F7" w:rsidP="00E627D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100%</w:t>
            </w:r>
          </w:p>
        </w:tc>
      </w:tr>
      <w:tr w:rsidR="00ED6B60" w:rsidRPr="00587DAF" w14:paraId="17C25BD9" w14:textId="77777777" w:rsidTr="00E627DF">
        <w:trPr>
          <w:trHeight w:val="346"/>
          <w:jc w:val="center"/>
        </w:trPr>
        <w:tc>
          <w:tcPr>
            <w:tcW w:w="9350" w:type="dxa"/>
            <w:gridSpan w:val="3"/>
            <w:shd w:val="clear" w:color="auto" w:fill="E7E6E6" w:themeFill="background2"/>
            <w:noWrap/>
            <w:vAlign w:val="center"/>
          </w:tcPr>
          <w:p w14:paraId="51CF4622" w14:textId="77777777" w:rsidR="00ED6B60" w:rsidRPr="00587DAF" w:rsidRDefault="00ED6B60" w:rsidP="00E627DF">
            <w:pPr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Distribution:</w:t>
            </w:r>
          </w:p>
        </w:tc>
      </w:tr>
      <w:tr w:rsidR="00D825F7" w:rsidRPr="00587DAF" w14:paraId="70E7C24C" w14:textId="77777777" w:rsidTr="00E627DF">
        <w:trPr>
          <w:trHeight w:val="278"/>
          <w:jc w:val="center"/>
        </w:trPr>
        <w:tc>
          <w:tcPr>
            <w:tcW w:w="5035" w:type="dxa"/>
            <w:tcBorders>
              <w:top w:val="single" w:sz="4" w:space="0" w:color="auto"/>
            </w:tcBorders>
            <w:hideMark/>
          </w:tcPr>
          <w:p w14:paraId="164A50FA" w14:textId="77777777" w:rsidR="00D825F7" w:rsidRPr="00587DAF" w:rsidRDefault="00D825F7" w:rsidP="00763AF5">
            <w:pPr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Trauma Center</w:t>
            </w:r>
            <w:r w:rsidR="00ED6B60" w:rsidRPr="00587DAF">
              <w:rPr>
                <w:rFonts w:ascii="Arial" w:hAnsi="Arial" w:cs="Arial"/>
              </w:rPr>
              <w:t>s</w:t>
            </w:r>
            <w:r w:rsidRPr="00587DAF">
              <w:rPr>
                <w:rFonts w:ascii="Arial" w:hAnsi="Arial" w:cs="Arial"/>
              </w:rPr>
              <w:t xml:space="preserve"> and Physicians Distributed per Health and Safety Code</w:t>
            </w:r>
          </w:p>
        </w:tc>
        <w:tc>
          <w:tcPr>
            <w:tcW w:w="215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C1142B0" w14:textId="5F0DCC7F" w:rsidR="00D825F7" w:rsidRPr="00587DAF" w:rsidRDefault="00D825F7" w:rsidP="00E627D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$</w:t>
            </w:r>
            <w:r w:rsidR="00DE3D7E">
              <w:rPr>
                <w:rFonts w:ascii="Arial" w:hAnsi="Arial" w:cs="Arial"/>
              </w:rPr>
              <w:t>1,467,468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7D3838CB" w14:textId="7B5EB07E" w:rsidR="00D825F7" w:rsidRPr="00587DAF" w:rsidDel="007262BD" w:rsidRDefault="00DE3D7E" w:rsidP="00E62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="00D825F7" w:rsidRPr="00587DAF">
              <w:rPr>
                <w:rFonts w:ascii="Arial" w:hAnsi="Arial" w:cs="Arial"/>
              </w:rPr>
              <w:t>%</w:t>
            </w:r>
          </w:p>
        </w:tc>
      </w:tr>
      <w:tr w:rsidR="00D825F7" w:rsidRPr="00587DAF" w14:paraId="2D024510" w14:textId="77777777" w:rsidTr="00E627DF">
        <w:trPr>
          <w:trHeight w:val="350"/>
          <w:jc w:val="center"/>
        </w:trPr>
        <w:tc>
          <w:tcPr>
            <w:tcW w:w="5035" w:type="dxa"/>
            <w:vAlign w:val="center"/>
            <w:hideMark/>
          </w:tcPr>
          <w:p w14:paraId="0615D5E0" w14:textId="77777777" w:rsidR="00D825F7" w:rsidRPr="00587DAF" w:rsidRDefault="00D825F7" w:rsidP="00E627DF">
            <w:pPr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Physician Claim Contractor Payment – AMM, Inc.</w:t>
            </w:r>
          </w:p>
        </w:tc>
        <w:tc>
          <w:tcPr>
            <w:tcW w:w="2157" w:type="dxa"/>
            <w:noWrap/>
            <w:vAlign w:val="center"/>
            <w:hideMark/>
          </w:tcPr>
          <w:p w14:paraId="0EBA9405" w14:textId="77777777" w:rsidR="00D825F7" w:rsidRPr="00587DAF" w:rsidRDefault="00D825F7" w:rsidP="00E627D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$168,000</w:t>
            </w:r>
          </w:p>
        </w:tc>
        <w:tc>
          <w:tcPr>
            <w:tcW w:w="2158" w:type="dxa"/>
            <w:vAlign w:val="center"/>
          </w:tcPr>
          <w:p w14:paraId="26CD4CA6" w14:textId="77777777" w:rsidR="00D825F7" w:rsidRPr="00587DAF" w:rsidDel="007262BD" w:rsidRDefault="00D825F7" w:rsidP="00E627D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9%</w:t>
            </w:r>
          </w:p>
        </w:tc>
      </w:tr>
      <w:tr w:rsidR="00ED6B60" w:rsidRPr="00587DAF" w14:paraId="37C5B5C6" w14:textId="77777777" w:rsidTr="00E627DF">
        <w:trPr>
          <w:trHeight w:val="350"/>
          <w:jc w:val="center"/>
        </w:trPr>
        <w:tc>
          <w:tcPr>
            <w:tcW w:w="5035" w:type="dxa"/>
            <w:shd w:val="clear" w:color="auto" w:fill="auto"/>
            <w:vAlign w:val="center"/>
            <w:hideMark/>
          </w:tcPr>
          <w:p w14:paraId="4B203899" w14:textId="7AA5C8FB" w:rsidR="00D825F7" w:rsidRPr="00587DAF" w:rsidRDefault="00D825F7" w:rsidP="00E627DF">
            <w:pPr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EMS Program</w:t>
            </w:r>
            <w:r w:rsidR="00ED6B60" w:rsidRPr="00587DAF">
              <w:rPr>
                <w:rFonts w:ascii="Arial" w:hAnsi="Arial" w:cs="Arial"/>
              </w:rPr>
              <w:t xml:space="preserve"> </w:t>
            </w:r>
            <w:r w:rsidR="0058445C">
              <w:rPr>
                <w:rFonts w:ascii="Arial" w:hAnsi="Arial" w:cs="Arial"/>
              </w:rPr>
              <w:t>O</w:t>
            </w:r>
            <w:r w:rsidR="00ED6B60" w:rsidRPr="00587DAF">
              <w:rPr>
                <w:rFonts w:ascii="Arial" w:hAnsi="Arial" w:cs="Arial"/>
              </w:rPr>
              <w:t>perations</w:t>
            </w:r>
          </w:p>
        </w:tc>
        <w:tc>
          <w:tcPr>
            <w:tcW w:w="2157" w:type="dxa"/>
            <w:shd w:val="clear" w:color="auto" w:fill="auto"/>
            <w:noWrap/>
            <w:vAlign w:val="center"/>
            <w:hideMark/>
          </w:tcPr>
          <w:p w14:paraId="2E2831DB" w14:textId="2F6B1C06" w:rsidR="00D825F7" w:rsidRPr="00587DAF" w:rsidRDefault="00D825F7" w:rsidP="00E627D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$</w:t>
            </w:r>
            <w:r w:rsidR="00DE3D7E">
              <w:rPr>
                <w:rFonts w:ascii="Arial" w:hAnsi="Arial" w:cs="Arial"/>
              </w:rPr>
              <w:t>300,634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70D6417" w14:textId="6893393A" w:rsidR="00D825F7" w:rsidRPr="00587DAF" w:rsidDel="007262BD" w:rsidRDefault="00DE3D7E" w:rsidP="00E627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D825F7" w:rsidRPr="00587DAF">
              <w:rPr>
                <w:rFonts w:ascii="Arial" w:hAnsi="Arial" w:cs="Arial"/>
              </w:rPr>
              <w:t>%</w:t>
            </w:r>
          </w:p>
        </w:tc>
      </w:tr>
    </w:tbl>
    <w:p w14:paraId="36DB4A97" w14:textId="77777777" w:rsidR="00342275" w:rsidRDefault="00D144B0" w:rsidP="00342275">
      <w:pPr>
        <w:spacing w:before="160"/>
        <w:rPr>
          <w:rFonts w:ascii="Arial" w:hAnsi="Arial" w:cs="Arial"/>
        </w:rPr>
      </w:pPr>
      <w:r w:rsidRPr="00587DAF">
        <w:rPr>
          <w:rFonts w:ascii="Arial" w:hAnsi="Arial" w:cs="Arial"/>
        </w:rPr>
        <w:t>As this revenue continues to decline, the EMS Agency will be required to reduce staff positions un</w:t>
      </w:r>
      <w:r w:rsidR="00E91299" w:rsidRPr="00587DAF">
        <w:rPr>
          <w:rFonts w:ascii="Arial" w:hAnsi="Arial" w:cs="Arial"/>
        </w:rPr>
        <w:t xml:space="preserve">less other </w:t>
      </w:r>
      <w:r w:rsidR="00E229E0" w:rsidRPr="00587DAF">
        <w:rPr>
          <w:rFonts w:ascii="Arial" w:hAnsi="Arial" w:cs="Arial"/>
        </w:rPr>
        <w:t xml:space="preserve">sustainable </w:t>
      </w:r>
      <w:r w:rsidR="00E91299" w:rsidRPr="00587DAF">
        <w:rPr>
          <w:rFonts w:ascii="Arial" w:hAnsi="Arial" w:cs="Arial"/>
        </w:rPr>
        <w:t>funding source</w:t>
      </w:r>
      <w:r w:rsidR="00E229E0" w:rsidRPr="00587DAF">
        <w:rPr>
          <w:rFonts w:ascii="Arial" w:hAnsi="Arial" w:cs="Arial"/>
        </w:rPr>
        <w:t>s</w:t>
      </w:r>
      <w:r w:rsidR="00E91299" w:rsidRPr="00587DAF">
        <w:rPr>
          <w:rFonts w:ascii="Arial" w:hAnsi="Arial" w:cs="Arial"/>
        </w:rPr>
        <w:t xml:space="preserve"> </w:t>
      </w:r>
      <w:r w:rsidR="00E229E0" w:rsidRPr="00587DAF">
        <w:rPr>
          <w:rFonts w:ascii="Arial" w:hAnsi="Arial" w:cs="Arial"/>
        </w:rPr>
        <w:t>are</w:t>
      </w:r>
      <w:r w:rsidR="00E91299" w:rsidRPr="00587DAF">
        <w:rPr>
          <w:rFonts w:ascii="Arial" w:hAnsi="Arial" w:cs="Arial"/>
        </w:rPr>
        <w:t xml:space="preserve"> located.</w:t>
      </w:r>
    </w:p>
    <w:p w14:paraId="15C95EA5" w14:textId="77777777" w:rsidR="00587DAF" w:rsidRDefault="00587DAF" w:rsidP="00587DAF">
      <w:pPr>
        <w:spacing w:before="160" w:after="0"/>
        <w:rPr>
          <w:rFonts w:ascii="Arial" w:hAnsi="Arial" w:cs="Arial"/>
        </w:rPr>
      </w:pPr>
    </w:p>
    <w:p w14:paraId="6940A6F9" w14:textId="77777777" w:rsidR="00E62BC7" w:rsidRDefault="00E62BC7" w:rsidP="00587DAF">
      <w:pPr>
        <w:spacing w:before="160" w:after="0"/>
        <w:rPr>
          <w:rFonts w:ascii="Arial" w:hAnsi="Arial" w:cs="Arial"/>
        </w:rPr>
      </w:pPr>
    </w:p>
    <w:p w14:paraId="70527FC9" w14:textId="77777777" w:rsidR="00E62BC7" w:rsidRDefault="00E62BC7" w:rsidP="00587DAF">
      <w:pPr>
        <w:spacing w:before="160" w:after="0"/>
        <w:rPr>
          <w:rFonts w:ascii="Arial" w:hAnsi="Arial" w:cs="Arial"/>
        </w:rPr>
      </w:pPr>
    </w:p>
    <w:p w14:paraId="27FD405A" w14:textId="77777777" w:rsidR="00D865A1" w:rsidRDefault="00D865A1" w:rsidP="00587DAF">
      <w:pPr>
        <w:spacing w:before="160" w:after="0"/>
        <w:rPr>
          <w:rFonts w:ascii="Arial" w:hAnsi="Arial" w:cs="Arial"/>
        </w:rPr>
      </w:pPr>
    </w:p>
    <w:p w14:paraId="399A79C3" w14:textId="77777777" w:rsidR="00E62BC7" w:rsidRDefault="00E62BC7" w:rsidP="00587DAF">
      <w:pPr>
        <w:spacing w:before="160" w:after="0"/>
        <w:rPr>
          <w:rFonts w:ascii="Arial" w:hAnsi="Arial" w:cs="Arial"/>
        </w:rPr>
      </w:pPr>
    </w:p>
    <w:p w14:paraId="763E0919" w14:textId="77777777" w:rsidR="00E62BC7" w:rsidRDefault="00E62BC7" w:rsidP="00587DAF">
      <w:pPr>
        <w:spacing w:before="160" w:after="0"/>
        <w:rPr>
          <w:rFonts w:ascii="Arial" w:hAnsi="Arial" w:cs="Arial"/>
        </w:rPr>
      </w:pPr>
    </w:p>
    <w:p w14:paraId="44F00D6D" w14:textId="77777777" w:rsidR="00E62BC7" w:rsidRDefault="00E62BC7" w:rsidP="00587DAF">
      <w:pPr>
        <w:spacing w:before="160" w:after="0"/>
        <w:rPr>
          <w:rFonts w:ascii="Arial" w:hAnsi="Arial" w:cs="Arial"/>
        </w:rPr>
      </w:pPr>
    </w:p>
    <w:p w14:paraId="23631B91" w14:textId="77777777" w:rsidR="00AD7385" w:rsidRDefault="00AD7385">
      <w:pPr>
        <w:rPr>
          <w:rFonts w:ascii="Arial" w:hAnsi="Arial" w:cs="Arial"/>
          <w:b/>
          <w:u w:val="single"/>
        </w:rPr>
      </w:pPr>
    </w:p>
    <w:p w14:paraId="567A25B9" w14:textId="17794BF1" w:rsidR="00ED6B60" w:rsidRPr="00587DAF" w:rsidRDefault="00ED6B60">
      <w:pPr>
        <w:rPr>
          <w:rFonts w:ascii="Arial" w:hAnsi="Arial" w:cs="Arial"/>
        </w:rPr>
      </w:pPr>
      <w:r w:rsidRPr="00587DAF">
        <w:rPr>
          <w:rFonts w:ascii="Arial" w:hAnsi="Arial" w:cs="Arial"/>
          <w:b/>
          <w:u w:val="single"/>
        </w:rPr>
        <w:lastRenderedPageBreak/>
        <w:t>Funding Comparisons</w:t>
      </w:r>
      <w:r w:rsidRPr="00587DAF">
        <w:rPr>
          <w:rFonts w:ascii="Arial" w:hAnsi="Arial" w:cs="Arial"/>
        </w:rPr>
        <w:t>:  Sacramento County &amp; Other Counties</w:t>
      </w:r>
    </w:p>
    <w:p w14:paraId="2705FBA8" w14:textId="77777777" w:rsidR="00ED6B60" w:rsidRDefault="00BF143A" w:rsidP="00DC2E15">
      <w:pPr>
        <w:rPr>
          <w:rFonts w:ascii="Arial" w:hAnsi="Arial" w:cs="Arial"/>
        </w:rPr>
      </w:pPr>
      <w:r w:rsidRPr="00587DAF">
        <w:rPr>
          <w:rFonts w:ascii="Arial" w:hAnsi="Arial" w:cs="Arial"/>
        </w:rPr>
        <w:t xml:space="preserve">Other counties </w:t>
      </w:r>
      <w:r w:rsidRPr="00587DAF" w:rsidDel="00313C98">
        <w:rPr>
          <w:rFonts w:ascii="Arial" w:hAnsi="Arial" w:cs="Arial"/>
        </w:rPr>
        <w:t xml:space="preserve">receive the majority of their </w:t>
      </w:r>
      <w:r w:rsidRPr="00587DAF">
        <w:rPr>
          <w:rFonts w:ascii="Arial" w:hAnsi="Arial" w:cs="Arial"/>
        </w:rPr>
        <w:t>funding</w:t>
      </w:r>
      <w:r w:rsidRPr="00587DAF" w:rsidDel="00313C98">
        <w:rPr>
          <w:rFonts w:ascii="Arial" w:hAnsi="Arial" w:cs="Arial"/>
        </w:rPr>
        <w:t xml:space="preserve"> through </w:t>
      </w:r>
      <w:r w:rsidRPr="00587DAF">
        <w:rPr>
          <w:rFonts w:ascii="Arial" w:hAnsi="Arial" w:cs="Arial"/>
        </w:rPr>
        <w:t xml:space="preserve">other sources of revenue such as </w:t>
      </w:r>
      <w:r w:rsidRPr="00587DAF" w:rsidDel="00313C98">
        <w:rPr>
          <w:rFonts w:ascii="Arial" w:hAnsi="Arial" w:cs="Arial"/>
        </w:rPr>
        <w:t>exclusive operating area</w:t>
      </w:r>
      <w:r w:rsidRPr="00587DAF">
        <w:rPr>
          <w:rFonts w:ascii="Arial" w:hAnsi="Arial" w:cs="Arial"/>
        </w:rPr>
        <w:t xml:space="preserve"> (EOA)</w:t>
      </w:r>
      <w:r w:rsidRPr="00587DAF" w:rsidDel="00313C98">
        <w:rPr>
          <w:rFonts w:ascii="Arial" w:hAnsi="Arial" w:cs="Arial"/>
        </w:rPr>
        <w:t xml:space="preserve"> fees</w:t>
      </w:r>
      <w:r w:rsidR="00ED6B60" w:rsidRPr="00587DAF">
        <w:rPr>
          <w:rFonts w:ascii="Arial" w:hAnsi="Arial" w:cs="Arial"/>
        </w:rPr>
        <w:t>, bonds/measures,</w:t>
      </w:r>
      <w:r w:rsidR="00ED6B60" w:rsidRPr="00587DAF" w:rsidDel="00313C98">
        <w:rPr>
          <w:rFonts w:ascii="Arial" w:hAnsi="Arial" w:cs="Arial"/>
        </w:rPr>
        <w:t xml:space="preserve"> or</w:t>
      </w:r>
      <w:r w:rsidR="00D60736" w:rsidRPr="00587DAF">
        <w:rPr>
          <w:rFonts w:ascii="Arial" w:hAnsi="Arial" w:cs="Arial"/>
        </w:rPr>
        <w:t xml:space="preserve"> </w:t>
      </w:r>
      <w:r w:rsidR="00ED6B60" w:rsidRPr="00587DAF">
        <w:rPr>
          <w:rFonts w:ascii="Arial" w:hAnsi="Arial" w:cs="Arial"/>
        </w:rPr>
        <w:t xml:space="preserve">personnel fees </w:t>
      </w:r>
      <w:r w:rsidR="00D60736" w:rsidRPr="00587DAF">
        <w:rPr>
          <w:rFonts w:ascii="Arial" w:hAnsi="Arial" w:cs="Arial"/>
        </w:rPr>
        <w:t xml:space="preserve">as </w:t>
      </w:r>
      <w:r w:rsidR="00587DAF" w:rsidRPr="00587DAF">
        <w:rPr>
          <w:rFonts w:ascii="Arial" w:hAnsi="Arial" w:cs="Arial"/>
        </w:rPr>
        <w:t>shown</w:t>
      </w:r>
      <w:r w:rsidR="00D60736" w:rsidRPr="00587DAF">
        <w:rPr>
          <w:rFonts w:ascii="Arial" w:hAnsi="Arial" w:cs="Arial"/>
        </w:rPr>
        <w:t xml:space="preserve"> in the following charts</w:t>
      </w:r>
      <w:r w:rsidR="00E95B28" w:rsidRPr="00587DAF">
        <w:rPr>
          <w:rFonts w:ascii="Arial" w:hAnsi="Arial" w:cs="Arial"/>
        </w:rPr>
        <w:t>.</w:t>
      </w:r>
    </w:p>
    <w:p w14:paraId="2B942084" w14:textId="2A01395D" w:rsidR="003F748D" w:rsidRDefault="00E627DF" w:rsidP="00DC2E1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C02715E" wp14:editId="522F34EB">
            <wp:extent cx="5943600" cy="1937385"/>
            <wp:effectExtent l="0" t="0" r="0" b="571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0F59920" w14:textId="77777777" w:rsidR="00E95B28" w:rsidRDefault="003F748D" w:rsidP="00DC2E15">
      <w:pPr>
        <w:jc w:val="center"/>
        <w:rPr>
          <w:rFonts w:ascii="Arial" w:hAnsi="Arial" w:cs="Arial"/>
          <w:sz w:val="23"/>
          <w:szCs w:val="23"/>
        </w:rPr>
      </w:pPr>
      <w:r>
        <w:rPr>
          <w:noProof/>
        </w:rPr>
        <w:drawing>
          <wp:inline distT="0" distB="0" distL="0" distR="0" wp14:anchorId="5239E7A2" wp14:editId="475F68A8">
            <wp:extent cx="5943600" cy="1937385"/>
            <wp:effectExtent l="0" t="0" r="0" b="57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FDB1C1F" w14:textId="21145DC9" w:rsidR="000408B9" w:rsidRPr="00E627DF" w:rsidRDefault="00A017C5" w:rsidP="00E627DF">
      <w:pPr>
        <w:spacing w:after="120"/>
        <w:jc w:val="both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r>
        <w:rPr>
          <w:noProof/>
        </w:rPr>
        <w:drawing>
          <wp:inline distT="0" distB="0" distL="0" distR="0" wp14:anchorId="607CAF62" wp14:editId="0134C699">
            <wp:extent cx="4171950" cy="141922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BA19D5" w14:textId="4836E944" w:rsidR="00A017C5" w:rsidRDefault="00AD7385" w:rsidP="00D825F7">
      <w:pPr>
        <w:jc w:val="both"/>
        <w:rPr>
          <w:rFonts w:ascii="Arial" w:eastAsia="Times New Roman" w:hAnsi="Arial" w:cs="Arial"/>
          <w:i/>
          <w:color w:val="000000"/>
          <w:sz w:val="20"/>
          <w:szCs w:val="23"/>
        </w:rPr>
      </w:pPr>
      <w:r>
        <w:rPr>
          <w:rFonts w:ascii="Arial" w:eastAsia="Times New Roman" w:hAnsi="Arial" w:cs="Arial"/>
          <w:i/>
          <w:color w:val="000000"/>
          <w:sz w:val="20"/>
          <w:szCs w:val="23"/>
        </w:rPr>
        <w:t>Funding information data as of December 2018.</w:t>
      </w:r>
    </w:p>
    <w:p w14:paraId="2CD08C2B" w14:textId="77777777" w:rsidR="00A017C5" w:rsidRDefault="00A017C5" w:rsidP="00D825F7">
      <w:pPr>
        <w:jc w:val="both"/>
        <w:rPr>
          <w:rFonts w:ascii="Arial" w:eastAsia="Times New Roman" w:hAnsi="Arial" w:cs="Arial"/>
          <w:i/>
          <w:color w:val="000000"/>
          <w:sz w:val="20"/>
          <w:szCs w:val="23"/>
        </w:rPr>
      </w:pPr>
    </w:p>
    <w:p w14:paraId="03D28F02" w14:textId="145CE900" w:rsidR="000408B9" w:rsidRDefault="000408B9" w:rsidP="00D825F7">
      <w:pPr>
        <w:jc w:val="both"/>
        <w:rPr>
          <w:rFonts w:ascii="Arial" w:eastAsia="Times New Roman" w:hAnsi="Arial" w:cs="Arial"/>
          <w:i/>
          <w:color w:val="000000"/>
          <w:sz w:val="20"/>
          <w:szCs w:val="23"/>
        </w:rPr>
      </w:pPr>
    </w:p>
    <w:p w14:paraId="4B6356C1" w14:textId="77777777" w:rsidR="00E627DF" w:rsidRDefault="00E627DF" w:rsidP="00D825F7">
      <w:pPr>
        <w:jc w:val="both"/>
        <w:rPr>
          <w:rFonts w:ascii="Arial" w:eastAsia="Times New Roman" w:hAnsi="Arial" w:cs="Arial"/>
          <w:i/>
          <w:color w:val="000000"/>
          <w:sz w:val="20"/>
          <w:szCs w:val="23"/>
        </w:rPr>
      </w:pPr>
    </w:p>
    <w:p w14:paraId="45B766A3" w14:textId="2AD7531C" w:rsidR="00AD7385" w:rsidRDefault="00AD7385" w:rsidP="00D825F7">
      <w:pPr>
        <w:jc w:val="both"/>
        <w:rPr>
          <w:rFonts w:ascii="Arial" w:eastAsia="Times New Roman" w:hAnsi="Arial" w:cs="Arial"/>
          <w:i/>
          <w:color w:val="000000"/>
          <w:sz w:val="20"/>
          <w:szCs w:val="23"/>
        </w:rPr>
      </w:pPr>
    </w:p>
    <w:p w14:paraId="219C27D9" w14:textId="77777777" w:rsidR="00AD7385" w:rsidRDefault="00AD7385" w:rsidP="00D825F7">
      <w:pPr>
        <w:jc w:val="both"/>
        <w:rPr>
          <w:rFonts w:ascii="Arial" w:eastAsia="Times New Roman" w:hAnsi="Arial" w:cs="Arial"/>
          <w:i/>
          <w:color w:val="000000"/>
          <w:sz w:val="20"/>
          <w:szCs w:val="23"/>
        </w:rPr>
      </w:pPr>
    </w:p>
    <w:p w14:paraId="7FCFF949" w14:textId="77777777" w:rsidR="00ED6B60" w:rsidRPr="00587DAF" w:rsidRDefault="00ED6B60" w:rsidP="00D825F7">
      <w:pPr>
        <w:jc w:val="both"/>
        <w:rPr>
          <w:rFonts w:ascii="Arial" w:eastAsia="Times New Roman" w:hAnsi="Arial" w:cs="Arial"/>
          <w:color w:val="000000"/>
        </w:rPr>
      </w:pPr>
      <w:r w:rsidRPr="00587DAF">
        <w:rPr>
          <w:rFonts w:ascii="Arial" w:eastAsia="Times New Roman" w:hAnsi="Arial" w:cs="Arial"/>
          <w:b/>
          <w:color w:val="000000"/>
          <w:u w:val="single"/>
        </w:rPr>
        <w:lastRenderedPageBreak/>
        <w:t>Revenue Funding Charts</w:t>
      </w:r>
      <w:r w:rsidRPr="00587DAF">
        <w:rPr>
          <w:rFonts w:ascii="Arial" w:eastAsia="Times New Roman" w:hAnsi="Arial" w:cs="Arial"/>
          <w:color w:val="000000"/>
        </w:rPr>
        <w:t>:</w:t>
      </w:r>
    </w:p>
    <w:p w14:paraId="689B6712" w14:textId="77777777" w:rsidR="00ED6B60" w:rsidRPr="00587DAF" w:rsidRDefault="00ED6B60" w:rsidP="00D825F7">
      <w:pPr>
        <w:jc w:val="both"/>
        <w:rPr>
          <w:rFonts w:ascii="Arial" w:eastAsia="Times New Roman" w:hAnsi="Arial" w:cs="Arial"/>
          <w:color w:val="000000"/>
        </w:rPr>
      </w:pPr>
      <w:r w:rsidRPr="00587DAF">
        <w:rPr>
          <w:rFonts w:ascii="Arial" w:eastAsia="Times New Roman" w:hAnsi="Arial" w:cs="Arial"/>
          <w:color w:val="000000"/>
        </w:rPr>
        <w:t xml:space="preserve">Sacramento County has a Non-Exclusive Operating Area for 9-1-1 due to a legal settlement with public fire entities.  Other EMS agencies rely </w:t>
      </w:r>
      <w:r w:rsidR="00ED0BD5">
        <w:rPr>
          <w:rFonts w:ascii="Arial" w:eastAsia="Times New Roman" w:hAnsi="Arial" w:cs="Arial"/>
          <w:color w:val="000000"/>
        </w:rPr>
        <w:t xml:space="preserve">primarily </w:t>
      </w:r>
      <w:r w:rsidRPr="00587DAF">
        <w:rPr>
          <w:rFonts w:ascii="Arial" w:eastAsia="Times New Roman" w:hAnsi="Arial" w:cs="Arial"/>
          <w:color w:val="000000"/>
        </w:rPr>
        <w:t>on these Exclus</w:t>
      </w:r>
      <w:r w:rsidR="00587DAF" w:rsidRPr="00587DAF">
        <w:rPr>
          <w:rFonts w:ascii="Arial" w:eastAsia="Times New Roman" w:hAnsi="Arial" w:cs="Arial"/>
          <w:color w:val="000000"/>
        </w:rPr>
        <w:t xml:space="preserve">ive Operating Area (EOA) fees as </w:t>
      </w:r>
      <w:r w:rsidR="00ED0BD5">
        <w:rPr>
          <w:rFonts w:ascii="Arial" w:eastAsia="Times New Roman" w:hAnsi="Arial" w:cs="Arial"/>
          <w:color w:val="000000"/>
        </w:rPr>
        <w:t xml:space="preserve">a source of </w:t>
      </w:r>
      <w:r w:rsidR="00587DAF" w:rsidRPr="00587DAF">
        <w:rPr>
          <w:rFonts w:ascii="Arial" w:eastAsia="Times New Roman" w:hAnsi="Arial" w:cs="Arial"/>
          <w:color w:val="000000"/>
        </w:rPr>
        <w:t>funding.</w:t>
      </w:r>
    </w:p>
    <w:tbl>
      <w:tblPr>
        <w:tblW w:w="11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370"/>
        <w:gridCol w:w="2502"/>
        <w:gridCol w:w="1397"/>
        <w:gridCol w:w="1528"/>
        <w:gridCol w:w="1403"/>
        <w:gridCol w:w="1130"/>
      </w:tblGrid>
      <w:tr w:rsidR="0048440E" w:rsidRPr="00587DAF" w14:paraId="513C88D7" w14:textId="77777777" w:rsidTr="00342275">
        <w:trPr>
          <w:jc w:val="center"/>
        </w:trPr>
        <w:tc>
          <w:tcPr>
            <w:tcW w:w="1890" w:type="dxa"/>
            <w:shd w:val="clear" w:color="auto" w:fill="DEEAF6" w:themeFill="accent1" w:themeFillTint="33"/>
            <w:vAlign w:val="center"/>
            <w:hideMark/>
          </w:tcPr>
          <w:p w14:paraId="2CCDF9A1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7DAF">
              <w:rPr>
                <w:rFonts w:ascii="Arial" w:eastAsia="Times New Roman" w:hAnsi="Arial" w:cs="Arial"/>
                <w:b/>
                <w:color w:val="000000"/>
              </w:rPr>
              <w:t>Local EMS Agency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74EE5207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7DAF">
              <w:rPr>
                <w:rFonts w:ascii="Arial" w:eastAsia="Times New Roman" w:hAnsi="Arial" w:cs="Arial"/>
                <w:b/>
                <w:color w:val="000000"/>
              </w:rPr>
              <w:t>Ordinance Revenue/</w:t>
            </w:r>
            <w:r w:rsidR="00342275" w:rsidRPr="00587D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587DAF">
              <w:rPr>
                <w:rFonts w:ascii="Arial" w:eastAsia="Times New Roman" w:hAnsi="Arial" w:cs="Arial"/>
                <w:b/>
                <w:color w:val="000000"/>
              </w:rPr>
              <w:t>Year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75CDCDC0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7DAF">
              <w:rPr>
                <w:rFonts w:ascii="Arial" w:eastAsia="Times New Roman" w:hAnsi="Arial" w:cs="Arial"/>
                <w:b/>
                <w:color w:val="000000"/>
              </w:rPr>
              <w:t>EMS Agency Oversight/Monitoring Fee</w:t>
            </w:r>
          </w:p>
          <w:p w14:paraId="735B3EA6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7DAF">
              <w:rPr>
                <w:rFonts w:ascii="Arial" w:eastAsia="Times New Roman" w:hAnsi="Arial" w:cs="Arial"/>
                <w:b/>
                <w:color w:val="000000"/>
              </w:rPr>
              <w:t>EOA Provider/Year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0E7F68E8" w14:textId="77777777" w:rsidR="0048440E" w:rsidRPr="00587DAF" w:rsidRDefault="00342275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7DAF">
              <w:rPr>
                <w:rFonts w:ascii="Arial" w:eastAsia="Times New Roman" w:hAnsi="Arial" w:cs="Arial"/>
                <w:b/>
                <w:color w:val="000000"/>
              </w:rPr>
              <w:t>Dispatch Fee EOA Provider</w:t>
            </w:r>
            <w:r w:rsidR="0048440E" w:rsidRPr="00587DAF">
              <w:rPr>
                <w:rFonts w:ascii="Arial" w:eastAsia="Times New Roman" w:hAnsi="Arial" w:cs="Arial"/>
                <w:b/>
                <w:color w:val="000000"/>
              </w:rPr>
              <w:t>/</w:t>
            </w:r>
            <w:r w:rsidRPr="00587DAF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="0048440E" w:rsidRPr="00587DAF">
              <w:rPr>
                <w:rFonts w:ascii="Arial" w:eastAsia="Times New Roman" w:hAnsi="Arial" w:cs="Arial"/>
                <w:b/>
                <w:color w:val="000000"/>
              </w:rPr>
              <w:t>Year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48E856D6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7DAF">
              <w:rPr>
                <w:rFonts w:ascii="Arial" w:eastAsia="Times New Roman" w:hAnsi="Arial" w:cs="Arial"/>
                <w:b/>
                <w:color w:val="000000"/>
              </w:rPr>
              <w:t>EMS Information System (Data) Fee/Year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14581F52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7DAF">
              <w:rPr>
                <w:rFonts w:ascii="Arial" w:eastAsia="Times New Roman" w:hAnsi="Arial" w:cs="Arial"/>
                <w:b/>
                <w:color w:val="000000"/>
              </w:rPr>
              <w:t>First Responder Fees</w:t>
            </w:r>
          </w:p>
        </w:tc>
        <w:tc>
          <w:tcPr>
            <w:tcW w:w="0" w:type="auto"/>
            <w:shd w:val="clear" w:color="auto" w:fill="DEEAF6" w:themeFill="accent1" w:themeFillTint="33"/>
            <w:vAlign w:val="center"/>
            <w:hideMark/>
          </w:tcPr>
          <w:p w14:paraId="13B63C85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587DAF">
              <w:rPr>
                <w:rFonts w:ascii="Arial" w:eastAsia="Times New Roman" w:hAnsi="Arial" w:cs="Arial"/>
                <w:b/>
                <w:color w:val="000000"/>
              </w:rPr>
              <w:t>Fines Charged</w:t>
            </w:r>
          </w:p>
        </w:tc>
      </w:tr>
      <w:tr w:rsidR="0048440E" w:rsidRPr="00587DAF" w14:paraId="1D42261C" w14:textId="77777777" w:rsidTr="00342275">
        <w:trPr>
          <w:jc w:val="center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A5A87BC" w14:textId="77777777" w:rsidR="0048440E" w:rsidRPr="00587DAF" w:rsidRDefault="0048440E" w:rsidP="00A556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Alameda County EMS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5F2CB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$7,005,422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011C3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652A3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D072A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8A8D5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61AD4C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Y</w:t>
            </w:r>
          </w:p>
        </w:tc>
      </w:tr>
      <w:tr w:rsidR="0048440E" w:rsidRPr="00587DAF" w14:paraId="365E867F" w14:textId="77777777" w:rsidTr="00342275">
        <w:trPr>
          <w:jc w:val="center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DBCD06C" w14:textId="77777777" w:rsidR="0048440E" w:rsidRPr="00587DAF" w:rsidRDefault="0048440E" w:rsidP="00A556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Central California EMS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48751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17FE3A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80BBB4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$810,800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ADD0EB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489C3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5AEC5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Y</w:t>
            </w:r>
          </w:p>
        </w:tc>
      </w:tr>
      <w:tr w:rsidR="0048440E" w:rsidRPr="00587DAF" w14:paraId="0FC86FE8" w14:textId="77777777" w:rsidTr="00342275">
        <w:trPr>
          <w:jc w:val="center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35A9931" w14:textId="77777777" w:rsidR="0048440E" w:rsidRPr="00587DAF" w:rsidRDefault="0048440E" w:rsidP="00A556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Contra Costa County EMS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B3CB96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$1,178,607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960AB6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5E46D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B8EA43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FFDCD0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C702F0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Y</w:t>
            </w:r>
          </w:p>
        </w:tc>
      </w:tr>
      <w:tr w:rsidR="0048440E" w:rsidRPr="00587DAF" w14:paraId="4B8A2903" w14:textId="77777777" w:rsidTr="00342275">
        <w:trPr>
          <w:jc w:val="center"/>
        </w:trPr>
        <w:tc>
          <w:tcPr>
            <w:tcW w:w="1890" w:type="dxa"/>
            <w:shd w:val="clear" w:color="auto" w:fill="auto"/>
            <w:vAlign w:val="bottom"/>
            <w:hideMark/>
          </w:tcPr>
          <w:p w14:paraId="1779CC09" w14:textId="77777777" w:rsidR="0048440E" w:rsidRPr="00587DAF" w:rsidRDefault="0048440E" w:rsidP="00A556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Inland Counties Emergency Medical Agency (ICEMA)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9523F3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910157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$903,000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ED14D6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45325B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A99403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A037D2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Y</w:t>
            </w:r>
          </w:p>
        </w:tc>
      </w:tr>
      <w:tr w:rsidR="0048440E" w:rsidRPr="00587DAF" w14:paraId="11A973A1" w14:textId="77777777" w:rsidTr="00342275">
        <w:trPr>
          <w:jc w:val="center"/>
        </w:trPr>
        <w:tc>
          <w:tcPr>
            <w:tcW w:w="1890" w:type="dxa"/>
            <w:shd w:val="clear" w:color="auto" w:fill="auto"/>
            <w:vAlign w:val="bottom"/>
          </w:tcPr>
          <w:p w14:paraId="0E543B00" w14:textId="77777777" w:rsidR="0048440E" w:rsidRPr="00587DAF" w:rsidRDefault="0048440E" w:rsidP="00A556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Los Angeles County EMS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8197C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$2,700,222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A68383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100DC9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ED9FA6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129606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21B2D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Y</w:t>
            </w:r>
          </w:p>
        </w:tc>
      </w:tr>
      <w:tr w:rsidR="0048440E" w:rsidRPr="00587DAF" w14:paraId="6624E625" w14:textId="77777777" w:rsidTr="00342275">
        <w:trPr>
          <w:jc w:val="center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CC598A5" w14:textId="77777777" w:rsidR="0048440E" w:rsidRPr="00587DAF" w:rsidRDefault="0048440E" w:rsidP="00A556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Mountain Valley EMS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DAB6A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$144,286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25C132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$296,067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718423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E71EFC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C9585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$700,000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0DF56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Y</w:t>
            </w:r>
          </w:p>
        </w:tc>
      </w:tr>
      <w:tr w:rsidR="0048440E" w:rsidRPr="00587DAF" w14:paraId="1137419E" w14:textId="77777777" w:rsidTr="00342275">
        <w:trPr>
          <w:jc w:val="center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09DF5AE" w14:textId="77777777" w:rsidR="0048440E" w:rsidRPr="00587DAF" w:rsidRDefault="0048440E" w:rsidP="00A556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Orange County EMS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6DEB1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F9F4E8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$50,000*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35427E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4D049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76BBF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ED2F2A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Y</w:t>
            </w:r>
          </w:p>
        </w:tc>
      </w:tr>
      <w:tr w:rsidR="0048440E" w:rsidRPr="00587DAF" w14:paraId="76E12478" w14:textId="77777777" w:rsidTr="00342275">
        <w:trPr>
          <w:jc w:val="center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0FDCF855" w14:textId="77777777" w:rsidR="0048440E" w:rsidRPr="00587DAF" w:rsidRDefault="0048440E" w:rsidP="00A556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Riverside County EMS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2F959E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BA5D7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$485,000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601F9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$325,000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667144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$420,000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4264D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0E47B2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Y</w:t>
            </w:r>
          </w:p>
        </w:tc>
      </w:tr>
      <w:tr w:rsidR="0048440E" w:rsidRPr="00587DAF" w14:paraId="0C5A2237" w14:textId="77777777" w:rsidTr="00342275">
        <w:trPr>
          <w:jc w:val="center"/>
        </w:trPr>
        <w:tc>
          <w:tcPr>
            <w:tcW w:w="1890" w:type="dxa"/>
            <w:shd w:val="clear" w:color="auto" w:fill="DEEAF6" w:themeFill="accent1" w:themeFillTint="33"/>
            <w:noWrap/>
            <w:vAlign w:val="bottom"/>
            <w:hideMark/>
          </w:tcPr>
          <w:p w14:paraId="36410143" w14:textId="77777777" w:rsidR="0048440E" w:rsidRPr="00587DAF" w:rsidRDefault="0048440E" w:rsidP="00A556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 xml:space="preserve">Sacramento County EMS </w:t>
            </w:r>
          </w:p>
        </w:tc>
        <w:tc>
          <w:tcPr>
            <w:tcW w:w="0" w:type="auto"/>
            <w:shd w:val="clear" w:color="auto" w:fill="DEEAF6" w:themeFill="accent1" w:themeFillTint="33"/>
            <w:noWrap/>
            <w:vAlign w:val="center"/>
            <w:hideMark/>
          </w:tcPr>
          <w:p w14:paraId="76DA2FF1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DEEAF6" w:themeFill="accent1" w:themeFillTint="33"/>
            <w:noWrap/>
            <w:vAlign w:val="center"/>
            <w:hideMark/>
          </w:tcPr>
          <w:p w14:paraId="2B6E3121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$151,206**</w:t>
            </w:r>
          </w:p>
        </w:tc>
        <w:tc>
          <w:tcPr>
            <w:tcW w:w="0" w:type="auto"/>
            <w:shd w:val="clear" w:color="auto" w:fill="DEEAF6" w:themeFill="accent1" w:themeFillTint="33"/>
            <w:noWrap/>
            <w:vAlign w:val="center"/>
            <w:hideMark/>
          </w:tcPr>
          <w:p w14:paraId="3D5F8D24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DEEAF6" w:themeFill="accent1" w:themeFillTint="33"/>
            <w:noWrap/>
            <w:vAlign w:val="center"/>
            <w:hideMark/>
          </w:tcPr>
          <w:p w14:paraId="15B662DD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DEEAF6" w:themeFill="accent1" w:themeFillTint="33"/>
            <w:noWrap/>
            <w:vAlign w:val="center"/>
            <w:hideMark/>
          </w:tcPr>
          <w:p w14:paraId="10FB8863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DEEAF6" w:themeFill="accent1" w:themeFillTint="33"/>
            <w:noWrap/>
            <w:vAlign w:val="center"/>
            <w:hideMark/>
          </w:tcPr>
          <w:p w14:paraId="1CABF81D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8440E" w:rsidRPr="00587DAF" w14:paraId="22D9AA12" w14:textId="77777777" w:rsidTr="00342275">
        <w:trPr>
          <w:jc w:val="center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8DF5BDD" w14:textId="77777777" w:rsidR="0048440E" w:rsidRPr="00587DAF" w:rsidRDefault="0048440E" w:rsidP="00A556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San Diego County EMS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D41CDB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$6,048,897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63C2DF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37992A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BA3EB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CC4909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AAFDE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Y</w:t>
            </w:r>
          </w:p>
        </w:tc>
      </w:tr>
      <w:tr w:rsidR="0048440E" w:rsidRPr="00587DAF" w14:paraId="723CFE0D" w14:textId="77777777" w:rsidTr="00342275">
        <w:trPr>
          <w:jc w:val="center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35E46E3" w14:textId="77777777" w:rsidR="0048440E" w:rsidRPr="00587DAF" w:rsidRDefault="0048440E" w:rsidP="00A556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San Joaquin County EMS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23DD8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B56F7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$675,000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643738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731FD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359E2A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017046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Y</w:t>
            </w:r>
          </w:p>
        </w:tc>
      </w:tr>
      <w:tr w:rsidR="0048440E" w:rsidRPr="00587DAF" w14:paraId="6CFDE5D7" w14:textId="77777777" w:rsidTr="00342275">
        <w:trPr>
          <w:jc w:val="center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28EB23A6" w14:textId="77777777" w:rsidR="0048440E" w:rsidRPr="00587DAF" w:rsidRDefault="0048440E" w:rsidP="00A556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San Mateo County EMS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C35292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39EE0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$425,484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2F089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$1,127,559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428699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32525C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$4,739,669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8E3E6E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Y</w:t>
            </w:r>
          </w:p>
        </w:tc>
      </w:tr>
      <w:tr w:rsidR="0048440E" w:rsidRPr="00587DAF" w14:paraId="6F30AE56" w14:textId="77777777" w:rsidTr="00342275">
        <w:trPr>
          <w:jc w:val="center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636747E3" w14:textId="77777777" w:rsidR="0048440E" w:rsidRPr="00587DAF" w:rsidRDefault="0048440E" w:rsidP="00A556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Santa Clara County EMS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DC721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0CF389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$984,217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7B19A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952AD4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98BE3D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C6FEFA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Y</w:t>
            </w:r>
          </w:p>
        </w:tc>
      </w:tr>
      <w:tr w:rsidR="0048440E" w:rsidRPr="00587DAF" w14:paraId="0B4931E8" w14:textId="77777777" w:rsidTr="00342275">
        <w:trPr>
          <w:jc w:val="center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99CFA46" w14:textId="77777777" w:rsidR="0048440E" w:rsidRPr="00587DAF" w:rsidRDefault="0048440E" w:rsidP="00A556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Solano County EMS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3A31F6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9B7EBD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$500,000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59E05F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014978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6C59D6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BF2708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Y</w:t>
            </w:r>
          </w:p>
        </w:tc>
      </w:tr>
      <w:tr w:rsidR="0048440E" w:rsidRPr="00587DAF" w14:paraId="717AA60D" w14:textId="77777777" w:rsidTr="00342275">
        <w:trPr>
          <w:jc w:val="center"/>
        </w:trPr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20C3626" w14:textId="77777777" w:rsidR="0048440E" w:rsidRPr="00587DAF" w:rsidRDefault="0048440E" w:rsidP="00A556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Yolo County EMS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6115D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551A84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$300,000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E70C01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431DE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B9F1A2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77A179" w14:textId="77777777" w:rsidR="0048440E" w:rsidRPr="00587DAF" w:rsidRDefault="0048440E" w:rsidP="00A556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87DAF">
              <w:rPr>
                <w:rFonts w:ascii="Arial" w:eastAsia="Times New Roman" w:hAnsi="Arial" w:cs="Arial"/>
                <w:color w:val="000000"/>
              </w:rPr>
              <w:t>Y</w:t>
            </w:r>
          </w:p>
        </w:tc>
      </w:tr>
    </w:tbl>
    <w:p w14:paraId="09412DBF" w14:textId="77777777" w:rsidR="00C93984" w:rsidRPr="00E62BC7" w:rsidRDefault="0048440E" w:rsidP="00D825F7">
      <w:pPr>
        <w:spacing w:before="160"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87DAF">
        <w:rPr>
          <w:rFonts w:ascii="Arial" w:eastAsia="Times New Roman" w:hAnsi="Arial" w:cs="Arial"/>
          <w:color w:val="000000"/>
        </w:rPr>
        <w:t>*</w:t>
      </w:r>
      <w:r w:rsidRPr="00E62BC7">
        <w:rPr>
          <w:rFonts w:ascii="Arial" w:eastAsia="Times New Roman" w:hAnsi="Arial" w:cs="Arial"/>
          <w:color w:val="000000"/>
          <w:sz w:val="20"/>
          <w:szCs w:val="20"/>
        </w:rPr>
        <w:t>Orange County – ALS Provider</w:t>
      </w:r>
      <w:r w:rsidR="00984783" w:rsidRPr="00E62BC7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Pr="00E62BC7">
        <w:rPr>
          <w:rFonts w:ascii="Arial" w:eastAsia="Times New Roman" w:hAnsi="Arial" w:cs="Arial"/>
          <w:color w:val="000000"/>
          <w:sz w:val="20"/>
          <w:szCs w:val="20"/>
        </w:rPr>
        <w:t xml:space="preserve"> pay the EMS Agency $13.33/patient transport from calls originating in 9-1-1 system/quarter. EOA fee is less than other counties due to $400,000 General Fund support.</w:t>
      </w:r>
    </w:p>
    <w:p w14:paraId="2484B6F4" w14:textId="77777777" w:rsidR="0048440E" w:rsidRPr="00E62BC7" w:rsidRDefault="0048440E" w:rsidP="00D825F7">
      <w:pPr>
        <w:spacing w:before="160"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62BC7">
        <w:rPr>
          <w:rFonts w:ascii="Arial" w:eastAsia="Times New Roman" w:hAnsi="Arial" w:cs="Arial"/>
          <w:color w:val="000000"/>
          <w:sz w:val="20"/>
          <w:szCs w:val="20"/>
        </w:rPr>
        <w:t>**Sacramento County – Medical Control fee is similar to EOA fee</w:t>
      </w:r>
      <w:r w:rsidR="00587DAF" w:rsidRPr="00E62BC7">
        <w:rPr>
          <w:rFonts w:ascii="Arial" w:eastAsia="Times New Roman" w:hAnsi="Arial" w:cs="Arial"/>
          <w:color w:val="000000"/>
          <w:sz w:val="20"/>
          <w:szCs w:val="20"/>
        </w:rPr>
        <w:t>s in other counties</w:t>
      </w:r>
      <w:r w:rsidRPr="00E62BC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26B7BD2" w14:textId="77777777" w:rsidR="000408B9" w:rsidRPr="00587DAF" w:rsidRDefault="000408B9" w:rsidP="00D825F7">
      <w:pPr>
        <w:spacing w:before="160" w:after="0"/>
        <w:jc w:val="both"/>
        <w:rPr>
          <w:rFonts w:ascii="Arial" w:eastAsia="Times New Roman" w:hAnsi="Arial" w:cs="Arial"/>
          <w:color w:val="000000"/>
        </w:rPr>
      </w:pPr>
    </w:p>
    <w:p w14:paraId="4079DE36" w14:textId="77777777" w:rsidR="00E62BC7" w:rsidRDefault="00E62BC7" w:rsidP="00D825F7">
      <w:pPr>
        <w:spacing w:before="160" w:after="0"/>
        <w:jc w:val="both"/>
        <w:rPr>
          <w:rFonts w:ascii="Arial" w:hAnsi="Arial" w:cs="Arial"/>
          <w:b/>
          <w:u w:val="single"/>
        </w:rPr>
      </w:pPr>
    </w:p>
    <w:p w14:paraId="1E4E9CEE" w14:textId="77777777" w:rsidR="00072DAA" w:rsidRPr="00587DAF" w:rsidRDefault="00072DAA" w:rsidP="00D825F7">
      <w:pPr>
        <w:spacing w:before="160" w:after="0"/>
        <w:jc w:val="both"/>
        <w:rPr>
          <w:rFonts w:ascii="Arial" w:hAnsi="Arial" w:cs="Arial"/>
        </w:rPr>
      </w:pPr>
      <w:r w:rsidRPr="00587DAF">
        <w:rPr>
          <w:rFonts w:ascii="Arial" w:hAnsi="Arial" w:cs="Arial"/>
          <w:b/>
          <w:u w:val="single"/>
        </w:rPr>
        <w:t>EMS Staffing Comparison</w:t>
      </w:r>
      <w:r w:rsidRPr="00587DAF">
        <w:rPr>
          <w:rFonts w:ascii="Arial" w:hAnsi="Arial" w:cs="Arial"/>
        </w:rPr>
        <w:t>:</w:t>
      </w:r>
    </w:p>
    <w:p w14:paraId="48E70BBC" w14:textId="77777777" w:rsidR="00E62BC7" w:rsidRDefault="00072DAA" w:rsidP="00587DAF">
      <w:pPr>
        <w:spacing w:before="160"/>
        <w:jc w:val="both"/>
        <w:rPr>
          <w:rFonts w:ascii="Arial" w:hAnsi="Arial" w:cs="Arial"/>
        </w:rPr>
      </w:pPr>
      <w:r w:rsidRPr="00587DAF">
        <w:rPr>
          <w:rFonts w:ascii="Arial" w:hAnsi="Arial" w:cs="Arial"/>
        </w:rPr>
        <w:t>Stakeholders requested new programs and additional monitoring/data during the stakeholder meetings.  Unfortunately, we were unable to add the additional programs and monitoring due to staffi</w:t>
      </w:r>
      <w:r w:rsidR="00984783" w:rsidRPr="00587DAF">
        <w:rPr>
          <w:rFonts w:ascii="Arial" w:hAnsi="Arial" w:cs="Arial"/>
        </w:rPr>
        <w:t xml:space="preserve">ng levels.  </w:t>
      </w:r>
    </w:p>
    <w:p w14:paraId="62BA0AC1" w14:textId="77777777" w:rsidR="00147D80" w:rsidRPr="00587DAF" w:rsidRDefault="00984783" w:rsidP="00587DAF">
      <w:pPr>
        <w:spacing w:before="160"/>
        <w:jc w:val="both"/>
        <w:rPr>
          <w:rFonts w:ascii="Arial" w:hAnsi="Arial" w:cs="Arial"/>
        </w:rPr>
      </w:pPr>
      <w:r w:rsidRPr="00587DAF">
        <w:rPr>
          <w:rFonts w:ascii="Arial" w:hAnsi="Arial" w:cs="Arial"/>
        </w:rPr>
        <w:t>The following chart</w:t>
      </w:r>
      <w:r w:rsidR="00072DAA" w:rsidRPr="00587DAF">
        <w:rPr>
          <w:rFonts w:ascii="Arial" w:hAnsi="Arial" w:cs="Arial"/>
        </w:rPr>
        <w:t xml:space="preserve"> depicts Sacramento County in comparison to other urban counties.  The exception is San Joaquin, a smaller neighboring county.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1145"/>
        <w:gridCol w:w="1234"/>
        <w:gridCol w:w="1574"/>
        <w:gridCol w:w="1574"/>
        <w:gridCol w:w="1476"/>
      </w:tblGrid>
      <w:tr w:rsidR="00147D80" w:rsidRPr="00587DAF" w14:paraId="31978160" w14:textId="77777777" w:rsidTr="00087638">
        <w:trPr>
          <w:trHeight w:val="267"/>
          <w:jc w:val="center"/>
        </w:trPr>
        <w:tc>
          <w:tcPr>
            <w:tcW w:w="1283" w:type="pct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B77B1" w14:textId="77777777" w:rsidR="00147D80" w:rsidRPr="00587DAF" w:rsidRDefault="00147D80" w:rsidP="00587DAF">
            <w:pPr>
              <w:spacing w:after="0"/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  <w:b/>
                <w:bCs/>
              </w:rPr>
              <w:t>County</w:t>
            </w:r>
          </w:p>
        </w:tc>
        <w:tc>
          <w:tcPr>
            <w:tcW w:w="640" w:type="pct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B7228" w14:textId="77777777" w:rsidR="00147D80" w:rsidRPr="00587DAF" w:rsidRDefault="00147D80" w:rsidP="00587DAF">
            <w:pPr>
              <w:spacing w:after="0"/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  <w:b/>
                <w:bCs/>
              </w:rPr>
              <w:t>Alameda</w:t>
            </w:r>
          </w:p>
        </w:tc>
        <w:tc>
          <w:tcPr>
            <w:tcW w:w="687" w:type="pct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72C7D" w14:textId="77777777" w:rsidR="00147D80" w:rsidRPr="00587DAF" w:rsidRDefault="00147D80" w:rsidP="00587DAF">
            <w:pPr>
              <w:spacing w:after="0"/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  <w:b/>
                <w:bCs/>
              </w:rPr>
              <w:t>Riverside</w:t>
            </w:r>
          </w:p>
        </w:tc>
        <w:tc>
          <w:tcPr>
            <w:tcW w:w="869" w:type="pct"/>
            <w:shd w:val="clear" w:color="auto" w:fill="DEEAF6" w:themeFill="accent1" w:themeFillTint="33"/>
            <w:vAlign w:val="center"/>
          </w:tcPr>
          <w:p w14:paraId="0142ADF4" w14:textId="77777777" w:rsidR="00147D80" w:rsidRPr="00587DAF" w:rsidRDefault="00147D80" w:rsidP="00587DA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87DAF">
              <w:rPr>
                <w:rFonts w:ascii="Arial" w:hAnsi="Arial" w:cs="Arial"/>
                <w:b/>
                <w:bCs/>
              </w:rPr>
              <w:t>Contra Costa</w:t>
            </w:r>
          </w:p>
        </w:tc>
        <w:tc>
          <w:tcPr>
            <w:tcW w:w="869" w:type="pct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81B77" w14:textId="77777777" w:rsidR="00147D80" w:rsidRPr="00587DAF" w:rsidRDefault="00147D80" w:rsidP="00587DAF">
            <w:pPr>
              <w:spacing w:after="0"/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  <w:b/>
                <w:bCs/>
              </w:rPr>
              <w:t>San Joaquin</w:t>
            </w:r>
          </w:p>
        </w:tc>
        <w:tc>
          <w:tcPr>
            <w:tcW w:w="651" w:type="pct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29C6B" w14:textId="77777777" w:rsidR="00147D80" w:rsidRPr="00587DAF" w:rsidRDefault="00147D80" w:rsidP="00587DAF">
            <w:pPr>
              <w:spacing w:after="0"/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  <w:b/>
                <w:bCs/>
              </w:rPr>
              <w:t>Sacramento</w:t>
            </w:r>
          </w:p>
        </w:tc>
      </w:tr>
      <w:tr w:rsidR="00147D80" w:rsidRPr="00587DAF" w14:paraId="0082D01A" w14:textId="77777777" w:rsidTr="00087638">
        <w:trPr>
          <w:trHeight w:hRule="exact" w:val="288"/>
          <w:jc w:val="center"/>
        </w:trPr>
        <w:tc>
          <w:tcPr>
            <w:tcW w:w="128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4B04D0" w14:textId="77777777" w:rsidR="00147D80" w:rsidRPr="00587DAF" w:rsidRDefault="00147D80" w:rsidP="00147D80">
            <w:pPr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Medical Director</w:t>
            </w:r>
          </w:p>
        </w:tc>
        <w:tc>
          <w:tcPr>
            <w:tcW w:w="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4573D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1</w:t>
            </w:r>
          </w:p>
        </w:tc>
        <w:tc>
          <w:tcPr>
            <w:tcW w:w="6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37111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1</w:t>
            </w:r>
          </w:p>
        </w:tc>
        <w:tc>
          <w:tcPr>
            <w:tcW w:w="869" w:type="pct"/>
            <w:vAlign w:val="center"/>
          </w:tcPr>
          <w:p w14:paraId="3D654B9A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1</w:t>
            </w:r>
          </w:p>
        </w:tc>
        <w:tc>
          <w:tcPr>
            <w:tcW w:w="86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23626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0.3</w:t>
            </w:r>
          </w:p>
        </w:tc>
        <w:tc>
          <w:tcPr>
            <w:tcW w:w="65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43C87" w14:textId="77777777" w:rsidR="00147D80" w:rsidRPr="00587DAF" w:rsidRDefault="00E95B28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0.5</w:t>
            </w:r>
          </w:p>
        </w:tc>
      </w:tr>
      <w:tr w:rsidR="00147D80" w:rsidRPr="00587DAF" w14:paraId="337BC6A1" w14:textId="77777777" w:rsidTr="00087638">
        <w:trPr>
          <w:trHeight w:hRule="exact" w:val="288"/>
          <w:jc w:val="center"/>
        </w:trPr>
        <w:tc>
          <w:tcPr>
            <w:tcW w:w="128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762CBE" w14:textId="77777777" w:rsidR="00147D80" w:rsidRPr="00587DAF" w:rsidRDefault="00147D80" w:rsidP="00147D80">
            <w:pPr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EMS Director/Administrator</w:t>
            </w:r>
          </w:p>
        </w:tc>
        <w:tc>
          <w:tcPr>
            <w:tcW w:w="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F50D1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1</w:t>
            </w:r>
          </w:p>
        </w:tc>
        <w:tc>
          <w:tcPr>
            <w:tcW w:w="6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C0E0F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2</w:t>
            </w:r>
          </w:p>
        </w:tc>
        <w:tc>
          <w:tcPr>
            <w:tcW w:w="869" w:type="pct"/>
            <w:vAlign w:val="center"/>
          </w:tcPr>
          <w:p w14:paraId="25E42EC4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1</w:t>
            </w:r>
          </w:p>
        </w:tc>
        <w:tc>
          <w:tcPr>
            <w:tcW w:w="86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2DC76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-</w:t>
            </w:r>
          </w:p>
        </w:tc>
        <w:tc>
          <w:tcPr>
            <w:tcW w:w="65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06ABE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1</w:t>
            </w:r>
          </w:p>
        </w:tc>
      </w:tr>
      <w:tr w:rsidR="00147D80" w:rsidRPr="00587DAF" w14:paraId="5C858971" w14:textId="77777777" w:rsidTr="00087638">
        <w:trPr>
          <w:trHeight w:hRule="exact" w:val="288"/>
          <w:jc w:val="center"/>
        </w:trPr>
        <w:tc>
          <w:tcPr>
            <w:tcW w:w="128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7FCC88" w14:textId="77777777" w:rsidR="00147D80" w:rsidRPr="00587DAF" w:rsidRDefault="00147D80" w:rsidP="00147D80">
            <w:pPr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Coordinator</w:t>
            </w:r>
          </w:p>
        </w:tc>
        <w:tc>
          <w:tcPr>
            <w:tcW w:w="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6402A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5</w:t>
            </w:r>
          </w:p>
        </w:tc>
        <w:tc>
          <w:tcPr>
            <w:tcW w:w="6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88563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-</w:t>
            </w:r>
          </w:p>
        </w:tc>
        <w:tc>
          <w:tcPr>
            <w:tcW w:w="869" w:type="pct"/>
            <w:vAlign w:val="center"/>
          </w:tcPr>
          <w:p w14:paraId="51D22A2A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8</w:t>
            </w:r>
          </w:p>
        </w:tc>
        <w:tc>
          <w:tcPr>
            <w:tcW w:w="86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86933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3</w:t>
            </w:r>
          </w:p>
        </w:tc>
        <w:tc>
          <w:tcPr>
            <w:tcW w:w="65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87823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1</w:t>
            </w:r>
          </w:p>
        </w:tc>
      </w:tr>
      <w:tr w:rsidR="00147D80" w:rsidRPr="00587DAF" w14:paraId="296CE132" w14:textId="77777777" w:rsidTr="00087638">
        <w:trPr>
          <w:trHeight w:hRule="exact" w:val="288"/>
          <w:jc w:val="center"/>
        </w:trPr>
        <w:tc>
          <w:tcPr>
            <w:tcW w:w="128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F68CC5" w14:textId="77777777" w:rsidR="00147D80" w:rsidRPr="00587DAF" w:rsidRDefault="00147D80" w:rsidP="00147D80">
            <w:pPr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Specialist</w:t>
            </w:r>
          </w:p>
        </w:tc>
        <w:tc>
          <w:tcPr>
            <w:tcW w:w="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31770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10</w:t>
            </w:r>
          </w:p>
        </w:tc>
        <w:tc>
          <w:tcPr>
            <w:tcW w:w="6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71488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8</w:t>
            </w:r>
          </w:p>
        </w:tc>
        <w:tc>
          <w:tcPr>
            <w:tcW w:w="869" w:type="pct"/>
            <w:vAlign w:val="center"/>
          </w:tcPr>
          <w:p w14:paraId="184B6E04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-</w:t>
            </w:r>
          </w:p>
        </w:tc>
        <w:tc>
          <w:tcPr>
            <w:tcW w:w="86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8434E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AD57D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3</w:t>
            </w:r>
          </w:p>
        </w:tc>
      </w:tr>
      <w:tr w:rsidR="00147D80" w:rsidRPr="00587DAF" w14:paraId="5BAC3122" w14:textId="77777777" w:rsidTr="00087638">
        <w:trPr>
          <w:trHeight w:hRule="exact" w:val="288"/>
          <w:jc w:val="center"/>
        </w:trPr>
        <w:tc>
          <w:tcPr>
            <w:tcW w:w="128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080B43" w14:textId="77777777" w:rsidR="00147D80" w:rsidRPr="00587DAF" w:rsidRDefault="00147D80" w:rsidP="00147D80">
            <w:pPr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Nurse Manager</w:t>
            </w:r>
          </w:p>
        </w:tc>
        <w:tc>
          <w:tcPr>
            <w:tcW w:w="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E9D9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-</w:t>
            </w:r>
          </w:p>
        </w:tc>
        <w:tc>
          <w:tcPr>
            <w:tcW w:w="6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C01E0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1</w:t>
            </w:r>
          </w:p>
        </w:tc>
        <w:tc>
          <w:tcPr>
            <w:tcW w:w="869" w:type="pct"/>
            <w:vAlign w:val="center"/>
          </w:tcPr>
          <w:p w14:paraId="6AD0B242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-</w:t>
            </w:r>
          </w:p>
        </w:tc>
        <w:tc>
          <w:tcPr>
            <w:tcW w:w="86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37D8B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-</w:t>
            </w:r>
          </w:p>
        </w:tc>
        <w:tc>
          <w:tcPr>
            <w:tcW w:w="65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4292C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-</w:t>
            </w:r>
          </w:p>
        </w:tc>
      </w:tr>
      <w:tr w:rsidR="00147D80" w:rsidRPr="00587DAF" w14:paraId="53D35421" w14:textId="77777777" w:rsidTr="00087638">
        <w:trPr>
          <w:trHeight w:hRule="exact" w:val="288"/>
          <w:jc w:val="center"/>
        </w:trPr>
        <w:tc>
          <w:tcPr>
            <w:tcW w:w="128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E5CF5F" w14:textId="77777777" w:rsidR="00147D80" w:rsidRPr="00587DAF" w:rsidRDefault="00147D80" w:rsidP="00147D80">
            <w:pPr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Analyst</w:t>
            </w:r>
          </w:p>
        </w:tc>
        <w:tc>
          <w:tcPr>
            <w:tcW w:w="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1708A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-</w:t>
            </w:r>
          </w:p>
        </w:tc>
        <w:tc>
          <w:tcPr>
            <w:tcW w:w="6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72FE1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-</w:t>
            </w:r>
          </w:p>
        </w:tc>
        <w:tc>
          <w:tcPr>
            <w:tcW w:w="869" w:type="pct"/>
            <w:vAlign w:val="center"/>
          </w:tcPr>
          <w:p w14:paraId="54D4AB18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-</w:t>
            </w:r>
          </w:p>
        </w:tc>
        <w:tc>
          <w:tcPr>
            <w:tcW w:w="86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4A82F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3</w:t>
            </w:r>
          </w:p>
        </w:tc>
        <w:tc>
          <w:tcPr>
            <w:tcW w:w="65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50591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-</w:t>
            </w:r>
          </w:p>
        </w:tc>
      </w:tr>
      <w:tr w:rsidR="00147D80" w:rsidRPr="00587DAF" w14:paraId="5D0A3E50" w14:textId="77777777" w:rsidTr="00087638">
        <w:trPr>
          <w:trHeight w:hRule="exact" w:val="288"/>
          <w:jc w:val="center"/>
        </w:trPr>
        <w:tc>
          <w:tcPr>
            <w:tcW w:w="1283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4F68A0" w14:textId="77777777" w:rsidR="00147D80" w:rsidRPr="00587DAF" w:rsidRDefault="00147D80" w:rsidP="00147D80">
            <w:pPr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Administrative Support</w:t>
            </w:r>
          </w:p>
        </w:tc>
        <w:tc>
          <w:tcPr>
            <w:tcW w:w="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DBEE2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7</w:t>
            </w:r>
          </w:p>
        </w:tc>
        <w:tc>
          <w:tcPr>
            <w:tcW w:w="687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0A835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6</w:t>
            </w:r>
          </w:p>
        </w:tc>
        <w:tc>
          <w:tcPr>
            <w:tcW w:w="869" w:type="pct"/>
            <w:vAlign w:val="center"/>
          </w:tcPr>
          <w:p w14:paraId="6E81FDB9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5</w:t>
            </w:r>
          </w:p>
        </w:tc>
        <w:tc>
          <w:tcPr>
            <w:tcW w:w="86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FA7CF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2</w:t>
            </w:r>
          </w:p>
        </w:tc>
        <w:tc>
          <w:tcPr>
            <w:tcW w:w="65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55E95" w14:textId="77777777" w:rsidR="00147D80" w:rsidRPr="00587DAF" w:rsidRDefault="00147D80" w:rsidP="00710A5F">
            <w:pPr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</w:rPr>
              <w:t>2</w:t>
            </w:r>
          </w:p>
        </w:tc>
      </w:tr>
      <w:tr w:rsidR="00147D80" w:rsidRPr="00587DAF" w14:paraId="230341D8" w14:textId="77777777" w:rsidTr="00087638">
        <w:trPr>
          <w:trHeight w:val="298"/>
          <w:jc w:val="center"/>
        </w:trPr>
        <w:tc>
          <w:tcPr>
            <w:tcW w:w="1283" w:type="pct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056823" w14:textId="77777777" w:rsidR="00147D80" w:rsidRPr="00587DAF" w:rsidRDefault="00147D80" w:rsidP="00587DAF">
            <w:pPr>
              <w:spacing w:after="0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640" w:type="pct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90832" w14:textId="77777777" w:rsidR="00147D80" w:rsidRPr="00587DAF" w:rsidRDefault="00147D80" w:rsidP="00587DAF">
            <w:pPr>
              <w:spacing w:after="0"/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687" w:type="pct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C14D8" w14:textId="77777777" w:rsidR="00147D80" w:rsidRPr="00587DAF" w:rsidRDefault="00147D80" w:rsidP="00587DAF">
            <w:pPr>
              <w:spacing w:after="0"/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869" w:type="pct"/>
            <w:shd w:val="clear" w:color="auto" w:fill="DEEAF6" w:themeFill="accent1" w:themeFillTint="33"/>
            <w:vAlign w:val="center"/>
          </w:tcPr>
          <w:p w14:paraId="7CF88286" w14:textId="77777777" w:rsidR="00147D80" w:rsidRPr="00587DAF" w:rsidRDefault="00147D80" w:rsidP="00587DA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87DAF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869" w:type="pct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49A3" w14:textId="77777777" w:rsidR="00147D80" w:rsidRPr="00587DAF" w:rsidRDefault="00147D80" w:rsidP="00587DAF">
            <w:pPr>
              <w:spacing w:after="0"/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  <w:b/>
                <w:bCs/>
              </w:rPr>
              <w:t>10.3</w:t>
            </w:r>
          </w:p>
        </w:tc>
        <w:tc>
          <w:tcPr>
            <w:tcW w:w="651" w:type="pct"/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9CEE6" w14:textId="77777777" w:rsidR="00147D80" w:rsidRPr="00587DAF" w:rsidRDefault="00E95B28" w:rsidP="00587DAF">
            <w:pPr>
              <w:spacing w:after="0"/>
              <w:jc w:val="center"/>
              <w:rPr>
                <w:rFonts w:ascii="Arial" w:hAnsi="Arial" w:cs="Arial"/>
              </w:rPr>
            </w:pPr>
            <w:r w:rsidRPr="00587DAF">
              <w:rPr>
                <w:rFonts w:ascii="Arial" w:hAnsi="Arial" w:cs="Arial"/>
                <w:b/>
                <w:bCs/>
              </w:rPr>
              <w:t>7.5</w:t>
            </w:r>
          </w:p>
        </w:tc>
      </w:tr>
    </w:tbl>
    <w:p w14:paraId="4F01D1B6" w14:textId="77777777" w:rsidR="00147D80" w:rsidRPr="00587DAF" w:rsidRDefault="00147D80">
      <w:pPr>
        <w:rPr>
          <w:rFonts w:ascii="Arial" w:hAnsi="Arial" w:cs="Arial"/>
        </w:rPr>
      </w:pPr>
    </w:p>
    <w:sectPr w:rsidR="00147D80" w:rsidRPr="00587DAF" w:rsidSect="00D825F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B1D99" w14:textId="77777777" w:rsidR="009C622B" w:rsidRDefault="009C622B" w:rsidP="006E52D0">
      <w:pPr>
        <w:spacing w:after="0" w:line="240" w:lineRule="auto"/>
      </w:pPr>
      <w:r>
        <w:separator/>
      </w:r>
    </w:p>
  </w:endnote>
  <w:endnote w:type="continuationSeparator" w:id="0">
    <w:p w14:paraId="01EF4D08" w14:textId="77777777" w:rsidR="009C622B" w:rsidRDefault="009C622B" w:rsidP="006E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38837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14EFAE6" w14:textId="2256A848" w:rsidR="00ED6B60" w:rsidRPr="00754768" w:rsidRDefault="00ED6B60">
        <w:pPr>
          <w:pStyle w:val="Footer"/>
          <w:jc w:val="right"/>
          <w:rPr>
            <w:rFonts w:ascii="Arial" w:hAnsi="Arial" w:cs="Arial"/>
          </w:rPr>
        </w:pPr>
        <w:r w:rsidRPr="00754768">
          <w:rPr>
            <w:rFonts w:ascii="Arial" w:hAnsi="Arial" w:cs="Arial"/>
          </w:rPr>
          <w:fldChar w:fldCharType="begin"/>
        </w:r>
        <w:r w:rsidRPr="00754768">
          <w:rPr>
            <w:rFonts w:ascii="Arial" w:hAnsi="Arial" w:cs="Arial"/>
          </w:rPr>
          <w:instrText xml:space="preserve"> PAGE   \* MERGEFORMAT </w:instrText>
        </w:r>
        <w:r w:rsidRPr="00754768">
          <w:rPr>
            <w:rFonts w:ascii="Arial" w:hAnsi="Arial" w:cs="Arial"/>
          </w:rPr>
          <w:fldChar w:fldCharType="separate"/>
        </w:r>
        <w:r w:rsidR="004F2191">
          <w:rPr>
            <w:rFonts w:ascii="Arial" w:hAnsi="Arial" w:cs="Arial"/>
            <w:noProof/>
          </w:rPr>
          <w:t>1</w:t>
        </w:r>
        <w:r w:rsidRPr="00754768">
          <w:rPr>
            <w:rFonts w:ascii="Arial" w:hAnsi="Arial" w:cs="Arial"/>
            <w:noProof/>
          </w:rPr>
          <w:fldChar w:fldCharType="end"/>
        </w:r>
      </w:p>
    </w:sdtContent>
  </w:sdt>
  <w:p w14:paraId="2DFC28CA" w14:textId="77777777" w:rsidR="006E52D0" w:rsidRDefault="006E5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3449D" w14:textId="77777777" w:rsidR="009C622B" w:rsidRDefault="009C622B" w:rsidP="006E52D0">
      <w:pPr>
        <w:spacing w:after="0" w:line="240" w:lineRule="auto"/>
      </w:pPr>
      <w:r>
        <w:separator/>
      </w:r>
    </w:p>
  </w:footnote>
  <w:footnote w:type="continuationSeparator" w:id="0">
    <w:p w14:paraId="14C02DE3" w14:textId="77777777" w:rsidR="009C622B" w:rsidRDefault="009C622B" w:rsidP="006E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358A"/>
    <w:multiLevelType w:val="hybridMultilevel"/>
    <w:tmpl w:val="92E4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71E63"/>
    <w:multiLevelType w:val="hybridMultilevel"/>
    <w:tmpl w:val="9064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16992"/>
    <w:multiLevelType w:val="hybridMultilevel"/>
    <w:tmpl w:val="A31C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A1BE9"/>
    <w:multiLevelType w:val="hybridMultilevel"/>
    <w:tmpl w:val="942CF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BF"/>
    <w:rsid w:val="00020908"/>
    <w:rsid w:val="00035BED"/>
    <w:rsid w:val="000408B9"/>
    <w:rsid w:val="0006615A"/>
    <w:rsid w:val="00072DAA"/>
    <w:rsid w:val="00087638"/>
    <w:rsid w:val="000A13FC"/>
    <w:rsid w:val="000B447C"/>
    <w:rsid w:val="00147D80"/>
    <w:rsid w:val="001559CB"/>
    <w:rsid w:val="0018175A"/>
    <w:rsid w:val="002074C5"/>
    <w:rsid w:val="00225FA7"/>
    <w:rsid w:val="002D6E0F"/>
    <w:rsid w:val="002D7ED3"/>
    <w:rsid w:val="00326A42"/>
    <w:rsid w:val="00342275"/>
    <w:rsid w:val="00373E35"/>
    <w:rsid w:val="0037497E"/>
    <w:rsid w:val="003903E2"/>
    <w:rsid w:val="003C1237"/>
    <w:rsid w:val="003F748D"/>
    <w:rsid w:val="00403FD0"/>
    <w:rsid w:val="0048440E"/>
    <w:rsid w:val="004B10EA"/>
    <w:rsid w:val="004C7BA3"/>
    <w:rsid w:val="004F1022"/>
    <w:rsid w:val="004F2191"/>
    <w:rsid w:val="00537AE4"/>
    <w:rsid w:val="00544A6F"/>
    <w:rsid w:val="00545228"/>
    <w:rsid w:val="005572C4"/>
    <w:rsid w:val="00562968"/>
    <w:rsid w:val="0058445C"/>
    <w:rsid w:val="00587DAF"/>
    <w:rsid w:val="005966DD"/>
    <w:rsid w:val="005A53B6"/>
    <w:rsid w:val="005B0150"/>
    <w:rsid w:val="005E1693"/>
    <w:rsid w:val="005E33BF"/>
    <w:rsid w:val="005E5952"/>
    <w:rsid w:val="006142AF"/>
    <w:rsid w:val="00635E7C"/>
    <w:rsid w:val="00645C66"/>
    <w:rsid w:val="00681C7A"/>
    <w:rsid w:val="006D4371"/>
    <w:rsid w:val="006E52D0"/>
    <w:rsid w:val="00710A5F"/>
    <w:rsid w:val="007262BD"/>
    <w:rsid w:val="0074288E"/>
    <w:rsid w:val="0075401D"/>
    <w:rsid w:val="00754768"/>
    <w:rsid w:val="00764D2B"/>
    <w:rsid w:val="00796268"/>
    <w:rsid w:val="007C6B5B"/>
    <w:rsid w:val="00877871"/>
    <w:rsid w:val="00881C20"/>
    <w:rsid w:val="008B4BFC"/>
    <w:rsid w:val="008B6C35"/>
    <w:rsid w:val="00936F54"/>
    <w:rsid w:val="00945287"/>
    <w:rsid w:val="0097254A"/>
    <w:rsid w:val="00984783"/>
    <w:rsid w:val="009905EB"/>
    <w:rsid w:val="009C622B"/>
    <w:rsid w:val="009E18E4"/>
    <w:rsid w:val="009E3019"/>
    <w:rsid w:val="00A017C5"/>
    <w:rsid w:val="00AD7385"/>
    <w:rsid w:val="00AE0B70"/>
    <w:rsid w:val="00AF06CB"/>
    <w:rsid w:val="00AF2F45"/>
    <w:rsid w:val="00B42D2C"/>
    <w:rsid w:val="00B66366"/>
    <w:rsid w:val="00B704BA"/>
    <w:rsid w:val="00B855D3"/>
    <w:rsid w:val="00BF143A"/>
    <w:rsid w:val="00BF599B"/>
    <w:rsid w:val="00C438FD"/>
    <w:rsid w:val="00C86D68"/>
    <w:rsid w:val="00C93984"/>
    <w:rsid w:val="00CC5AF7"/>
    <w:rsid w:val="00CF536B"/>
    <w:rsid w:val="00D02438"/>
    <w:rsid w:val="00D144B0"/>
    <w:rsid w:val="00D56248"/>
    <w:rsid w:val="00D60736"/>
    <w:rsid w:val="00D825F7"/>
    <w:rsid w:val="00D865A1"/>
    <w:rsid w:val="00DB4DF7"/>
    <w:rsid w:val="00DC2E15"/>
    <w:rsid w:val="00DE3D7E"/>
    <w:rsid w:val="00DE53C8"/>
    <w:rsid w:val="00E229E0"/>
    <w:rsid w:val="00E34401"/>
    <w:rsid w:val="00E5188D"/>
    <w:rsid w:val="00E57DB2"/>
    <w:rsid w:val="00E627DF"/>
    <w:rsid w:val="00E62BC7"/>
    <w:rsid w:val="00E75BF7"/>
    <w:rsid w:val="00E91299"/>
    <w:rsid w:val="00E95B28"/>
    <w:rsid w:val="00EA4EAE"/>
    <w:rsid w:val="00ED0BD5"/>
    <w:rsid w:val="00ED6B60"/>
    <w:rsid w:val="00ED6DCD"/>
    <w:rsid w:val="00ED7B39"/>
    <w:rsid w:val="00EF5126"/>
    <w:rsid w:val="00F15CFD"/>
    <w:rsid w:val="00F17864"/>
    <w:rsid w:val="00F2160B"/>
    <w:rsid w:val="00F5260F"/>
    <w:rsid w:val="00F823F2"/>
    <w:rsid w:val="00FA6A8D"/>
    <w:rsid w:val="00FC79A1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B6DB"/>
  <w15:chartTrackingRefBased/>
  <w15:docId w15:val="{D4965D4B-C4ED-4D91-8CA2-2EC35F95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BFC"/>
    <w:pPr>
      <w:ind w:left="720"/>
      <w:contextualSpacing/>
    </w:pPr>
  </w:style>
  <w:style w:type="table" w:styleId="ListTable7Colorful-Accent2">
    <w:name w:val="List Table 7 Colorful Accent 2"/>
    <w:basedOn w:val="TableNormal"/>
    <w:uiPriority w:val="52"/>
    <w:rsid w:val="005572C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55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2D0"/>
  </w:style>
  <w:style w:type="paragraph" w:styleId="Footer">
    <w:name w:val="footer"/>
    <w:basedOn w:val="Normal"/>
    <w:link w:val="FooterChar"/>
    <w:uiPriority w:val="99"/>
    <w:unhideWhenUsed/>
    <w:rsid w:val="006E5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2D0"/>
  </w:style>
  <w:style w:type="paragraph" w:styleId="BalloonText">
    <w:name w:val="Balloon Text"/>
    <w:basedOn w:val="Normal"/>
    <w:link w:val="BalloonTextChar"/>
    <w:uiPriority w:val="99"/>
    <w:semiHidden/>
    <w:unhideWhenUsed/>
    <w:rsid w:val="006E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2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3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D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hhs-fs\DHS-USERDATA\ClausonZ\PRI%20Programs\EMS\Data\EMS%20Funding%20Issues%20-%20Char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dhhs-fs\DHS-USERDATA\ClausonZ\PRI%20Programs\EMS\Data\Chart%20in%20Microsoft%20Wor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 b="1"/>
              <a:t>Sacramento County Funding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8725721784776901"/>
          <c:y val="0.25233652578088511"/>
          <c:w val="0.23568914462615251"/>
          <c:h val="0.7230581428058955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455-44F0-908E-1D0FB55CFCCE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455-44F0-908E-1D0FB55CFCCE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455-44F0-908E-1D0FB55CFCCE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455-44F0-908E-1D0FB55CFC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'Comp Counties'!$K$31:$K$33</c:f>
              <c:strCache>
                <c:ptCount val="3"/>
                <c:pt idx="0">
                  <c:v>Vehicle Code Fines (VCF)</c:v>
                </c:pt>
                <c:pt idx="1">
                  <c:v>Personnel Fees, Exclusive Operating Area, or Federal Funding</c:v>
                </c:pt>
                <c:pt idx="2">
                  <c:v>General Fund</c:v>
                </c:pt>
              </c:strCache>
            </c:strRef>
          </c:cat>
          <c:val>
            <c:numRef>
              <c:f>'Comp Counties'!$L$31:$L$33</c:f>
              <c:numCache>
                <c:formatCode>0%</c:formatCode>
                <c:ptCount val="3"/>
                <c:pt idx="0">
                  <c:v>0.77</c:v>
                </c:pt>
                <c:pt idx="1">
                  <c:v>0.184</c:v>
                </c:pt>
                <c:pt idx="2">
                  <c:v>4.58E-2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455-44F0-908E-1D0FB55CFC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 b="1"/>
              <a:t>Comparable Counties' Funding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7781983982771383"/>
          <c:y val="0.21573461134467334"/>
          <c:w val="0.24568030847995853"/>
          <c:h val="0.7537918555635091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59E-4933-B8CA-98C3EB573214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59E-4933-B8CA-98C3EB573214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59E-4933-B8CA-98C3EB573214}"/>
              </c:ext>
            </c:extLst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59E-4933-B8CA-98C3EB5732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'Comp Counties'!$K$45:$K$48</c:f>
              <c:strCache>
                <c:ptCount val="4"/>
                <c:pt idx="0">
                  <c:v>Personnel Fees, Exclusive Operating Area, or Federal Funding</c:v>
                </c:pt>
                <c:pt idx="1">
                  <c:v>General Fund</c:v>
                </c:pt>
                <c:pt idx="2">
                  <c:v>Vehicle Code Fines (VCF)</c:v>
                </c:pt>
                <c:pt idx="3">
                  <c:v>Percent of Budget General Fund and Bonds/Measures</c:v>
                </c:pt>
              </c:strCache>
            </c:strRef>
          </c:cat>
          <c:val>
            <c:numRef>
              <c:f>'Comp Counties'!$L$45:$L$48</c:f>
              <c:numCache>
                <c:formatCode>0%</c:formatCode>
                <c:ptCount val="4"/>
                <c:pt idx="0">
                  <c:v>0.66</c:v>
                </c:pt>
                <c:pt idx="1">
                  <c:v>0.13</c:v>
                </c:pt>
                <c:pt idx="2">
                  <c:v>0.11</c:v>
                </c:pt>
                <c:pt idx="3">
                  <c:v>0.10299999999999999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59E-4933-B8CA-98C3EB5732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100" b="1" i="0" u="sng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100" b="1" u="sng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Legend</a:t>
            </a:r>
          </a:p>
        </c:rich>
      </c:tx>
      <c:layout>
        <c:manualLayout>
          <c:xMode val="edge"/>
          <c:yMode val="edge"/>
          <c:x val="2.100456621004566E-3"/>
          <c:y val="4.47427293064876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100" b="1" i="0" u="sng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7684888012851607E-2"/>
          <c:y val="0.72726851851851848"/>
          <c:w val="6.6136228384295961E-3"/>
          <c:h val="1.752150772820063E-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1D0-47BE-84E7-7314E422C31C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1D0-47BE-84E7-7314E422C31C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1D0-47BE-84E7-7314E422C31C}"/>
              </c:ext>
            </c:extLst>
          </c:dPt>
          <c:dPt>
            <c:idx val="3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1D0-47BE-84E7-7314E422C31C}"/>
              </c:ext>
            </c:extLst>
          </c:dPt>
          <c:cat>
            <c:strRef>
              <c:f>'Comp Counties'!$K$69:$K$72</c:f>
              <c:strCache>
                <c:ptCount val="4"/>
                <c:pt idx="0">
                  <c:v>Vehicle Code Fines (VCF)</c:v>
                </c:pt>
                <c:pt idx="1">
                  <c:v>Personnel Fees, Exclusive Operating Area, or Federal Funding</c:v>
                </c:pt>
                <c:pt idx="2">
                  <c:v>General Fund</c:v>
                </c:pt>
                <c:pt idx="3">
                  <c:v>Bonds and Measures</c:v>
                </c:pt>
              </c:strCache>
            </c:strRef>
          </c:cat>
          <c:val>
            <c:numRef>
              <c:f>'Comp Counties'!$L$69:$L$73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1D0-47BE-84E7-7314E422C3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1.2900921631371418E-2"/>
          <c:y val="0.23185510208170543"/>
          <c:w val="0.97464063567396542"/>
          <c:h val="0.768144897918294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8D7EBB629947BD37FC410CD0D0D1" ma:contentTypeVersion="1" ma:contentTypeDescription="Create a new document." ma:contentTypeScope="" ma:versionID="ae33f66cae60fc5c7e39c7d618f4de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0d43bf0be583304e280f4717a398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7821FC-8A32-4B85-995B-5A54B6AFA289}"/>
</file>

<file path=customXml/itemProps2.xml><?xml version="1.0" encoding="utf-8"?>
<ds:datastoreItem xmlns:ds="http://schemas.openxmlformats.org/officeDocument/2006/customXml" ds:itemID="{D31106F9-4F6A-4AD1-91C5-B7A7E72C672A}"/>
</file>

<file path=customXml/itemProps3.xml><?xml version="1.0" encoding="utf-8"?>
<ds:datastoreItem xmlns:ds="http://schemas.openxmlformats.org/officeDocument/2006/customXml" ds:itemID="{2B3D81ED-0CBF-4547-9D00-9977936941A7}"/>
</file>

<file path=customXml/itemProps4.xml><?xml version="1.0" encoding="utf-8"?>
<ds:datastoreItem xmlns:ds="http://schemas.openxmlformats.org/officeDocument/2006/customXml" ds:itemID="{1004F608-66F8-43FC-AD8C-7F2EB7DB3E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Mello. Stephanie</dc:creator>
  <cp:keywords/>
  <dc:description/>
  <cp:lastModifiedBy>Chambers. Sherri</cp:lastModifiedBy>
  <cp:revision>2</cp:revision>
  <cp:lastPrinted>2019-10-28T15:35:00Z</cp:lastPrinted>
  <dcterms:created xsi:type="dcterms:W3CDTF">2019-10-31T18:34:00Z</dcterms:created>
  <dcterms:modified xsi:type="dcterms:W3CDTF">2019-10-31T18:34:00Z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0x01010043A88D7EBB629947BD37FC410CD0D0D1</vt:lpwstr>
  </property>
</Properties>
</file>