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2.xml" ContentType="application/vnd.ms-office.chartstyle+xml"/>
  <Override PartName="/word/charts/colors1.xml" ContentType="application/vnd.ms-office.chartcolorstyle+xml"/>
  <Override PartName="/word/charts/style1.xml" ContentType="application/vnd.ms-office.chartstyl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2A270" w14:textId="29F71FD5" w:rsidR="002011FB" w:rsidRDefault="001C6382" w:rsidP="004E37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E370B">
        <w:rPr>
          <w:rFonts w:ascii="Arial" w:hAnsi="Arial" w:cs="Arial"/>
          <w:b/>
          <w:sz w:val="24"/>
          <w:szCs w:val="24"/>
        </w:rPr>
        <w:t>Sacramento County EMS Funding</w:t>
      </w:r>
    </w:p>
    <w:p w14:paraId="088CE708" w14:textId="43E32A5F" w:rsidR="004E370B" w:rsidRPr="004E370B" w:rsidRDefault="004E370B" w:rsidP="001C63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13, 2020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4"/>
        <w:gridCol w:w="1949"/>
      </w:tblGrid>
      <w:tr w:rsidR="00D9412B" w:rsidRPr="002011FB" w14:paraId="1DD5405B" w14:textId="77777777" w:rsidTr="004E370B">
        <w:trPr>
          <w:trHeight w:val="576"/>
          <w:jc w:val="center"/>
        </w:trPr>
        <w:tc>
          <w:tcPr>
            <w:tcW w:w="4002" w:type="pct"/>
            <w:shd w:val="clear" w:color="auto" w:fill="DDDDDD" w:themeFill="background2"/>
            <w:noWrap/>
            <w:vAlign w:val="center"/>
            <w:hideMark/>
          </w:tcPr>
          <w:p w14:paraId="741E6393" w14:textId="77777777" w:rsidR="00D9412B" w:rsidRPr="002011FB" w:rsidRDefault="00D9412B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FY 2019-20 Revenue Sources</w:t>
            </w:r>
          </w:p>
        </w:tc>
        <w:tc>
          <w:tcPr>
            <w:tcW w:w="998" w:type="pct"/>
            <w:shd w:val="clear" w:color="auto" w:fill="DDDDDD" w:themeFill="background2"/>
            <w:noWrap/>
            <w:vAlign w:val="center"/>
            <w:hideMark/>
          </w:tcPr>
          <w:p w14:paraId="4CDEE3C8" w14:textId="77777777" w:rsidR="00D9412B" w:rsidRPr="002011FB" w:rsidRDefault="00D9412B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011FB">
              <w:rPr>
                <w:rFonts w:ascii="Arial" w:eastAsia="Times New Roman" w:hAnsi="Arial" w:cs="Arial"/>
                <w:b/>
                <w:color w:val="000000"/>
              </w:rPr>
              <w:t>Budget</w:t>
            </w:r>
            <w:r w:rsidR="00756163">
              <w:rPr>
                <w:rFonts w:ascii="Arial" w:eastAsia="Times New Roman" w:hAnsi="Arial" w:cs="Arial"/>
                <w:b/>
                <w:color w:val="000000"/>
              </w:rPr>
              <w:t>ed</w:t>
            </w:r>
          </w:p>
        </w:tc>
      </w:tr>
      <w:tr w:rsidR="00D9412B" w:rsidRPr="002011FB" w14:paraId="0211AA59" w14:textId="77777777" w:rsidTr="004E370B">
        <w:trPr>
          <w:trHeight w:val="288"/>
          <w:jc w:val="center"/>
        </w:trPr>
        <w:tc>
          <w:tcPr>
            <w:tcW w:w="4002" w:type="pct"/>
            <w:shd w:val="clear" w:color="auto" w:fill="auto"/>
            <w:vAlign w:val="center"/>
            <w:hideMark/>
          </w:tcPr>
          <w:p w14:paraId="1912AE97" w14:textId="77777777" w:rsidR="00D9412B" w:rsidRPr="002011FB" w:rsidRDefault="00D9412B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11FB">
              <w:rPr>
                <w:rFonts w:ascii="Arial" w:eastAsia="Times New Roman" w:hAnsi="Arial" w:cs="Arial"/>
                <w:color w:val="000000"/>
              </w:rPr>
              <w:t>Vehicle Code Fines (Maddy &amp; Richie Funds)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7CC08DED" w14:textId="77777777" w:rsidR="00D9412B" w:rsidRPr="002011FB" w:rsidRDefault="00D9412B" w:rsidP="006D25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011FB">
              <w:rPr>
                <w:rFonts w:ascii="Arial" w:eastAsia="Times New Roman" w:hAnsi="Arial" w:cs="Arial"/>
                <w:color w:val="000000"/>
              </w:rPr>
              <w:t>$ 1,773,000</w:t>
            </w:r>
          </w:p>
        </w:tc>
      </w:tr>
      <w:tr w:rsidR="00D9412B" w:rsidRPr="002011FB" w14:paraId="7902BDA9" w14:textId="77777777" w:rsidTr="004E370B">
        <w:trPr>
          <w:trHeight w:val="288"/>
          <w:jc w:val="center"/>
        </w:trPr>
        <w:tc>
          <w:tcPr>
            <w:tcW w:w="4002" w:type="pct"/>
            <w:shd w:val="clear" w:color="auto" w:fill="auto"/>
            <w:vAlign w:val="center"/>
            <w:hideMark/>
          </w:tcPr>
          <w:p w14:paraId="7AC0C583" w14:textId="77777777" w:rsidR="00D9412B" w:rsidRPr="002011FB" w:rsidRDefault="00D9412B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11FB">
              <w:rPr>
                <w:rFonts w:ascii="Arial" w:eastAsia="Times New Roman" w:hAnsi="Arial" w:cs="Arial"/>
                <w:color w:val="000000"/>
              </w:rPr>
              <w:t>EMS Fees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506620BC" w14:textId="77777777" w:rsidR="00D9412B" w:rsidRPr="002011FB" w:rsidRDefault="00D9412B" w:rsidP="006D25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011FB">
              <w:rPr>
                <w:rFonts w:ascii="Arial" w:eastAsia="Times New Roman" w:hAnsi="Arial" w:cs="Arial"/>
                <w:color w:val="000000"/>
              </w:rPr>
              <w:t>$ 943,414</w:t>
            </w:r>
          </w:p>
        </w:tc>
      </w:tr>
      <w:tr w:rsidR="00D9412B" w:rsidRPr="002011FB" w14:paraId="63793207" w14:textId="77777777" w:rsidTr="004E370B">
        <w:trPr>
          <w:trHeight w:val="288"/>
          <w:jc w:val="center"/>
        </w:trPr>
        <w:tc>
          <w:tcPr>
            <w:tcW w:w="4002" w:type="pct"/>
            <w:shd w:val="clear" w:color="auto" w:fill="auto"/>
            <w:noWrap/>
            <w:vAlign w:val="center"/>
            <w:hideMark/>
          </w:tcPr>
          <w:p w14:paraId="7932F5C6" w14:textId="77777777" w:rsidR="00D9412B" w:rsidRPr="002011FB" w:rsidRDefault="00D9412B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11FB">
              <w:rPr>
                <w:rFonts w:ascii="Arial" w:eastAsia="Times New Roman" w:hAnsi="Arial" w:cs="Arial"/>
                <w:color w:val="000000"/>
              </w:rPr>
              <w:t>General Fund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330BB706" w14:textId="77777777" w:rsidR="00D9412B" w:rsidRPr="002011FB" w:rsidRDefault="00D9412B" w:rsidP="006D25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011FB">
              <w:rPr>
                <w:rFonts w:ascii="Arial" w:eastAsia="Times New Roman" w:hAnsi="Arial" w:cs="Arial"/>
                <w:color w:val="000000"/>
              </w:rPr>
              <w:t>$ 162,319</w:t>
            </w:r>
          </w:p>
        </w:tc>
      </w:tr>
      <w:tr w:rsidR="00D9412B" w:rsidRPr="002011FB" w14:paraId="5300B25D" w14:textId="77777777" w:rsidTr="004E370B">
        <w:trPr>
          <w:trHeight w:val="288"/>
          <w:jc w:val="center"/>
        </w:trPr>
        <w:tc>
          <w:tcPr>
            <w:tcW w:w="4002" w:type="pct"/>
            <w:shd w:val="clear" w:color="auto" w:fill="auto"/>
            <w:noWrap/>
            <w:vAlign w:val="center"/>
            <w:hideMark/>
          </w:tcPr>
          <w:p w14:paraId="3B811002" w14:textId="77777777" w:rsidR="00D9412B" w:rsidRPr="002011FB" w:rsidRDefault="00D9412B" w:rsidP="00B225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011FB">
              <w:rPr>
                <w:rFonts w:ascii="Arial" w:eastAsia="Times New Roman" w:hAnsi="Arial" w:cs="Arial"/>
                <w:color w:val="000000"/>
              </w:rPr>
              <w:t>EMT State Certification</w:t>
            </w:r>
            <w:r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614FF1EB" w14:textId="77777777" w:rsidR="00D9412B" w:rsidRPr="002011FB" w:rsidRDefault="00D9412B" w:rsidP="006D25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011FB">
              <w:rPr>
                <w:rFonts w:ascii="Arial" w:eastAsia="Times New Roman" w:hAnsi="Arial" w:cs="Arial"/>
                <w:color w:val="000000"/>
              </w:rPr>
              <w:t>$ 38,000</w:t>
            </w:r>
          </w:p>
        </w:tc>
      </w:tr>
      <w:tr w:rsidR="00D9412B" w:rsidRPr="002011FB" w14:paraId="567CC933" w14:textId="77777777" w:rsidTr="004E370B">
        <w:trPr>
          <w:trHeight w:val="288"/>
          <w:jc w:val="center"/>
        </w:trPr>
        <w:tc>
          <w:tcPr>
            <w:tcW w:w="4002" w:type="pct"/>
            <w:shd w:val="clear" w:color="auto" w:fill="auto"/>
            <w:vAlign w:val="center"/>
            <w:hideMark/>
          </w:tcPr>
          <w:p w14:paraId="5CC78C80" w14:textId="77777777" w:rsidR="00D9412B" w:rsidRPr="002011FB" w:rsidRDefault="00D9412B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11FB">
              <w:rPr>
                <w:rFonts w:ascii="Arial" w:eastAsia="Times New Roman" w:hAnsi="Arial" w:cs="Arial"/>
                <w:color w:val="000000"/>
              </w:rPr>
              <w:t>Public Health Hospital Preparedness (HPP Grant)</w:t>
            </w:r>
            <w:r>
              <w:rPr>
                <w:rFonts w:ascii="Arial" w:eastAsia="Times New Roman" w:hAnsi="Arial" w:cs="Arial"/>
                <w:color w:val="000000"/>
              </w:rPr>
              <w:t>**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6E65E7DC" w14:textId="77777777" w:rsidR="00D9412B" w:rsidRPr="002011FB" w:rsidRDefault="00D9412B" w:rsidP="006D25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011FB">
              <w:rPr>
                <w:rFonts w:ascii="Arial" w:eastAsia="Times New Roman" w:hAnsi="Arial" w:cs="Arial"/>
                <w:color w:val="000000"/>
              </w:rPr>
              <w:t>$ 43,175</w:t>
            </w:r>
          </w:p>
        </w:tc>
      </w:tr>
      <w:tr w:rsidR="00D9412B" w:rsidRPr="002011FB" w14:paraId="4490AEF5" w14:textId="77777777" w:rsidTr="004E370B">
        <w:trPr>
          <w:trHeight w:val="288"/>
          <w:jc w:val="center"/>
        </w:trPr>
        <w:tc>
          <w:tcPr>
            <w:tcW w:w="4002" w:type="pct"/>
            <w:shd w:val="clear" w:color="auto" w:fill="auto"/>
            <w:vAlign w:val="center"/>
            <w:hideMark/>
          </w:tcPr>
          <w:p w14:paraId="0C3F811F" w14:textId="77777777" w:rsidR="00D9412B" w:rsidRPr="002011FB" w:rsidRDefault="00D9412B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11FB">
              <w:rPr>
                <w:rFonts w:ascii="Arial" w:eastAsia="Times New Roman" w:hAnsi="Arial" w:cs="Arial"/>
                <w:color w:val="000000"/>
              </w:rPr>
              <w:t>Public Health Emergency Preparedness (PHEP Grant)</w:t>
            </w:r>
            <w:r>
              <w:rPr>
                <w:rFonts w:ascii="Arial" w:eastAsia="Times New Roman" w:hAnsi="Arial" w:cs="Arial"/>
                <w:color w:val="000000"/>
              </w:rPr>
              <w:t>***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7B4942B2" w14:textId="77777777" w:rsidR="00D9412B" w:rsidRPr="002011FB" w:rsidRDefault="00D9412B" w:rsidP="006D25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011FB">
              <w:rPr>
                <w:rFonts w:ascii="Arial" w:eastAsia="Times New Roman" w:hAnsi="Arial" w:cs="Arial"/>
                <w:color w:val="000000"/>
              </w:rPr>
              <w:t>$ 6,000</w:t>
            </w:r>
          </w:p>
        </w:tc>
      </w:tr>
      <w:tr w:rsidR="00D9412B" w:rsidRPr="002011FB" w14:paraId="72D02DDF" w14:textId="77777777" w:rsidTr="004E370B">
        <w:trPr>
          <w:trHeight w:val="288"/>
          <w:jc w:val="center"/>
        </w:trPr>
        <w:tc>
          <w:tcPr>
            <w:tcW w:w="4002" w:type="pct"/>
            <w:shd w:val="clear" w:color="auto" w:fill="auto"/>
            <w:vAlign w:val="center"/>
          </w:tcPr>
          <w:p w14:paraId="7D94D66D" w14:textId="77777777" w:rsidR="00D9412B" w:rsidRPr="002011FB" w:rsidRDefault="00D9412B" w:rsidP="00A64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2011FB">
              <w:rPr>
                <w:rFonts w:ascii="Arial" w:eastAsia="Times New Roman" w:hAnsi="Arial" w:cs="Arial"/>
                <w:b/>
                <w:color w:val="000000"/>
              </w:rPr>
              <w:t>TOTAL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51F3033D" w14:textId="77777777" w:rsidR="00D9412B" w:rsidRPr="002011FB" w:rsidRDefault="00D9412B" w:rsidP="006D25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2011FB">
              <w:rPr>
                <w:rFonts w:ascii="Arial" w:eastAsia="Times New Roman" w:hAnsi="Arial" w:cs="Arial"/>
                <w:b/>
                <w:color w:val="000000"/>
              </w:rPr>
              <w:t>$ 2,965,908</w:t>
            </w:r>
          </w:p>
        </w:tc>
      </w:tr>
    </w:tbl>
    <w:p w14:paraId="49075DB9" w14:textId="77777777" w:rsidR="00756163" w:rsidRPr="004E370B" w:rsidRDefault="00756163" w:rsidP="00775131">
      <w:pPr>
        <w:spacing w:before="12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4E370B">
        <w:rPr>
          <w:rFonts w:ascii="Arial" w:eastAsia="Times New Roman" w:hAnsi="Arial" w:cs="Arial"/>
          <w:i/>
          <w:sz w:val="20"/>
          <w:szCs w:val="20"/>
        </w:rPr>
        <w:t>*Revenue from collecting EMT State certification fees.  State EMS invoices SCEMSA monthly for the collected fees.  This is a pass through.</w:t>
      </w:r>
    </w:p>
    <w:p w14:paraId="3AA367A9" w14:textId="77777777" w:rsidR="00756163" w:rsidRPr="004E370B" w:rsidRDefault="00756163" w:rsidP="00A642BE">
      <w:pPr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4E370B">
        <w:rPr>
          <w:rFonts w:ascii="Arial" w:eastAsia="Times New Roman" w:hAnsi="Arial" w:cs="Arial"/>
          <w:i/>
          <w:sz w:val="20"/>
          <w:szCs w:val="20"/>
        </w:rPr>
        <w:t>**HPP Grant revenue (Federal Grant provided to Division of Public Health through the State) supports a portion of the current EMS Coordinator position.  These funds support specific emergency preparedness functions.</w:t>
      </w:r>
    </w:p>
    <w:p w14:paraId="29CC95FD" w14:textId="77777777" w:rsidR="00756163" w:rsidRPr="004E370B" w:rsidRDefault="00756163" w:rsidP="00775131">
      <w:pPr>
        <w:spacing w:after="24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4E370B">
        <w:rPr>
          <w:rFonts w:ascii="Arial" w:eastAsia="Times New Roman" w:hAnsi="Arial" w:cs="Arial"/>
          <w:i/>
          <w:sz w:val="20"/>
          <w:szCs w:val="20"/>
        </w:rPr>
        <w:t>***PHEP Grant revenue (Federal Grant provided to Division of Public Health through the State) supports the EMS Mobile Medical Shelter storage/maintenance and is included in the EMS operational costs.</w:t>
      </w:r>
    </w:p>
    <w:tbl>
      <w:tblPr>
        <w:tblW w:w="9650" w:type="dxa"/>
        <w:jc w:val="center"/>
        <w:tblLook w:val="04A0" w:firstRow="1" w:lastRow="0" w:firstColumn="1" w:lastColumn="0" w:noHBand="0" w:noVBand="1"/>
      </w:tblPr>
      <w:tblGrid>
        <w:gridCol w:w="7900"/>
        <w:gridCol w:w="1750"/>
      </w:tblGrid>
      <w:tr w:rsidR="009B093A" w:rsidRPr="009B093A" w14:paraId="649DAEB0" w14:textId="77777777" w:rsidTr="004E370B">
        <w:trPr>
          <w:trHeight w:val="315"/>
          <w:jc w:val="center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 w:themeFill="background2"/>
            <w:noWrap/>
            <w:vAlign w:val="center"/>
            <w:hideMark/>
          </w:tcPr>
          <w:p w14:paraId="28A2CB5A" w14:textId="77777777" w:rsidR="009B093A" w:rsidRPr="009B093A" w:rsidRDefault="009B093A" w:rsidP="009B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>FY 2019-20 Expenditure Categories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 w:themeFill="background2"/>
            <w:noWrap/>
            <w:vAlign w:val="center"/>
            <w:hideMark/>
          </w:tcPr>
          <w:p w14:paraId="085FF744" w14:textId="77777777" w:rsidR="009B093A" w:rsidRPr="009B093A" w:rsidRDefault="009B093A" w:rsidP="009B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>Budgeted</w:t>
            </w:r>
          </w:p>
        </w:tc>
      </w:tr>
      <w:tr w:rsidR="009B093A" w:rsidRPr="009B093A" w14:paraId="773C2178" w14:textId="77777777" w:rsidTr="004E370B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7E9E" w14:textId="13E90C91" w:rsidR="009B093A" w:rsidRPr="009B093A" w:rsidRDefault="009B093A" w:rsidP="004E37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>Pass Thr</w:t>
            </w:r>
            <w:r w:rsidR="004E370B">
              <w:rPr>
                <w:rFonts w:ascii="Arial" w:eastAsia="Times New Roman" w:hAnsi="Arial" w:cs="Arial"/>
                <w:b/>
                <w:bCs/>
                <w:color w:val="000000"/>
              </w:rPr>
              <w:t>ough</w:t>
            </w: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Expenditures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1D5D" w14:textId="77777777" w:rsidR="009B093A" w:rsidRPr="009B093A" w:rsidRDefault="009B093A" w:rsidP="009B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9B093A" w:rsidRPr="009B093A" w14:paraId="71401373" w14:textId="77777777" w:rsidTr="004E370B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8DCEAA2" w14:textId="77777777" w:rsidR="009B093A" w:rsidRPr="009B093A" w:rsidRDefault="009B093A" w:rsidP="009B09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EMT State Certification Payments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E223460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$38,000</w:t>
            </w:r>
          </w:p>
        </w:tc>
      </w:tr>
      <w:tr w:rsidR="009B093A" w:rsidRPr="009B093A" w14:paraId="69114327" w14:textId="77777777" w:rsidTr="004E370B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237150B" w14:textId="77777777" w:rsidR="009B093A" w:rsidRPr="009B093A" w:rsidRDefault="009B093A" w:rsidP="009B09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Maddy/Richie Fund – Pediatric Trauma Payments (15% of Richie)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62F20FC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$132,975</w:t>
            </w:r>
          </w:p>
        </w:tc>
      </w:tr>
      <w:tr w:rsidR="009B093A" w:rsidRPr="009B093A" w14:paraId="1605E626" w14:textId="77777777" w:rsidTr="004E370B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64A26AD" w14:textId="77777777" w:rsidR="009B093A" w:rsidRPr="009B093A" w:rsidRDefault="009B093A" w:rsidP="009B09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Maddy/Richie Fund – Physician Payments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5BAB02F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$848,381</w:t>
            </w:r>
          </w:p>
        </w:tc>
      </w:tr>
      <w:tr w:rsidR="009B093A" w:rsidRPr="009B093A" w14:paraId="2C55ACB3" w14:textId="77777777" w:rsidTr="004E370B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B5B0902" w14:textId="77777777" w:rsidR="009B093A" w:rsidRPr="009B093A" w:rsidRDefault="009B093A" w:rsidP="009B09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 xml:space="preserve">Maddy/Richie Fund – Trauma Center Payments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E757D52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$365,681</w:t>
            </w:r>
          </w:p>
        </w:tc>
      </w:tr>
      <w:tr w:rsidR="009B093A" w:rsidRPr="009B093A" w14:paraId="70464391" w14:textId="77777777" w:rsidTr="004E370B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DCF16E2" w14:textId="3F6CEF21" w:rsidR="009B093A" w:rsidRPr="009B093A" w:rsidRDefault="009B093A" w:rsidP="004E37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Pass Thr</w:t>
            </w:r>
            <w:r w:rsidR="004E370B">
              <w:rPr>
                <w:rFonts w:ascii="Arial" w:eastAsia="Times New Roman" w:hAnsi="Arial" w:cs="Arial"/>
                <w:color w:val="000000"/>
              </w:rPr>
              <w:t>ough</w:t>
            </w:r>
            <w:r w:rsidRPr="009B093A">
              <w:rPr>
                <w:rFonts w:ascii="Arial" w:eastAsia="Times New Roman" w:hAnsi="Arial" w:cs="Arial"/>
                <w:color w:val="000000"/>
              </w:rPr>
              <w:t xml:space="preserve"> Expenditure Sub-Total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CADBD5C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>$1,385,037</w:t>
            </w:r>
          </w:p>
        </w:tc>
      </w:tr>
      <w:tr w:rsidR="009B093A" w:rsidRPr="009B093A" w14:paraId="73CB7920" w14:textId="77777777" w:rsidTr="004E370B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0703" w14:textId="0C84923C" w:rsidR="009B093A" w:rsidRPr="009B093A" w:rsidRDefault="000530EF" w:rsidP="009B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Unavoidable</w:t>
            </w: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B093A" w:rsidRPr="009B093A">
              <w:rPr>
                <w:rFonts w:ascii="Arial" w:eastAsia="Times New Roman" w:hAnsi="Arial" w:cs="Arial"/>
                <w:b/>
                <w:bCs/>
                <w:color w:val="000000"/>
              </w:rPr>
              <w:t>Expenditures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8E951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9B093A" w:rsidRPr="009B093A" w14:paraId="0B53677C" w14:textId="77777777" w:rsidTr="00BD1C5F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1CB"/>
            <w:vAlign w:val="center"/>
            <w:hideMark/>
          </w:tcPr>
          <w:p w14:paraId="5FF2C360" w14:textId="77777777" w:rsidR="009B093A" w:rsidRPr="009B093A" w:rsidRDefault="009B093A" w:rsidP="009B09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 xml:space="preserve">Administrative </w:t>
            </w:r>
            <w:r>
              <w:rPr>
                <w:rFonts w:ascii="Arial" w:eastAsia="Times New Roman" w:hAnsi="Arial" w:cs="Arial"/>
                <w:color w:val="000000"/>
              </w:rPr>
              <w:t>Costs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F1CB"/>
            <w:noWrap/>
            <w:vAlign w:val="center"/>
            <w:hideMark/>
          </w:tcPr>
          <w:p w14:paraId="7F3E125D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$40,800</w:t>
            </w:r>
          </w:p>
        </w:tc>
      </w:tr>
      <w:tr w:rsidR="009B093A" w:rsidRPr="009B093A" w14:paraId="7F01E374" w14:textId="77777777" w:rsidTr="00BD1C5F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1CB"/>
            <w:vAlign w:val="center"/>
            <w:hideMark/>
          </w:tcPr>
          <w:p w14:paraId="19B5B087" w14:textId="77777777" w:rsidR="009B093A" w:rsidRPr="009B093A" w:rsidRDefault="009B093A" w:rsidP="009B09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Advan</w:t>
            </w:r>
            <w:r>
              <w:rPr>
                <w:rFonts w:ascii="Arial" w:eastAsia="Times New Roman" w:hAnsi="Arial" w:cs="Arial"/>
                <w:color w:val="000000"/>
              </w:rPr>
              <w:t>ced Medical Management Contract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F1CB"/>
            <w:noWrap/>
            <w:vAlign w:val="center"/>
            <w:hideMark/>
          </w:tcPr>
          <w:p w14:paraId="6A41F286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$136,500</w:t>
            </w:r>
          </w:p>
        </w:tc>
      </w:tr>
      <w:tr w:rsidR="009B093A" w:rsidRPr="009B093A" w14:paraId="55831BCD" w14:textId="77777777" w:rsidTr="00BD1C5F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1CB"/>
            <w:vAlign w:val="center"/>
            <w:hideMark/>
          </w:tcPr>
          <w:p w14:paraId="067FE51C" w14:textId="77777777" w:rsidR="009B093A" w:rsidRPr="009B093A" w:rsidRDefault="009B093A" w:rsidP="009B09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Service Contracts</w:t>
            </w:r>
            <w:r w:rsidR="00B34E86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F1CB"/>
            <w:noWrap/>
            <w:vAlign w:val="center"/>
            <w:hideMark/>
          </w:tcPr>
          <w:p w14:paraId="73852255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$226,000</w:t>
            </w:r>
          </w:p>
        </w:tc>
      </w:tr>
      <w:tr w:rsidR="009B093A" w:rsidRPr="009B093A" w14:paraId="1A68A792" w14:textId="77777777" w:rsidTr="00BD1C5F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1CB"/>
            <w:vAlign w:val="center"/>
            <w:hideMark/>
          </w:tcPr>
          <w:p w14:paraId="21CE6A4E" w14:textId="77777777" w:rsidR="009B093A" w:rsidRPr="009B093A" w:rsidRDefault="009B093A" w:rsidP="009B09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Allocated Costs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F1CB"/>
            <w:noWrap/>
            <w:vAlign w:val="center"/>
            <w:hideMark/>
          </w:tcPr>
          <w:p w14:paraId="06D0FC38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$114,208</w:t>
            </w:r>
          </w:p>
        </w:tc>
      </w:tr>
      <w:tr w:rsidR="009B093A" w:rsidRPr="009B093A" w14:paraId="1D3228D8" w14:textId="77777777" w:rsidTr="00BD1C5F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1CB"/>
            <w:vAlign w:val="center"/>
            <w:hideMark/>
          </w:tcPr>
          <w:p w14:paraId="3BF13A7F" w14:textId="35F33538" w:rsidR="009B093A" w:rsidRPr="009B093A" w:rsidRDefault="006D25C7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Unavoidable</w:t>
            </w:r>
            <w:r w:rsidR="009B093A" w:rsidRPr="009B093A">
              <w:rPr>
                <w:rFonts w:ascii="Arial" w:eastAsia="Times New Roman" w:hAnsi="Arial" w:cs="Arial"/>
                <w:color w:val="000000"/>
              </w:rPr>
              <w:t xml:space="preserve"> Sub-Total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F1CB"/>
            <w:noWrap/>
            <w:vAlign w:val="center"/>
            <w:hideMark/>
          </w:tcPr>
          <w:p w14:paraId="305DE54B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>$517,508</w:t>
            </w:r>
          </w:p>
        </w:tc>
      </w:tr>
      <w:tr w:rsidR="009B093A" w:rsidRPr="009B093A" w14:paraId="434D2F7A" w14:textId="77777777" w:rsidTr="004E370B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59B98" w14:textId="77777777" w:rsidR="009B093A" w:rsidRPr="009B093A" w:rsidRDefault="009B093A" w:rsidP="009B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>Operational and Staffing Expenditures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EE7BD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9B093A" w:rsidRPr="009B093A" w14:paraId="4D355BE1" w14:textId="77777777" w:rsidTr="004E370B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31DE" w14:textId="77777777" w:rsidR="009B093A" w:rsidRPr="009B093A" w:rsidRDefault="009B093A" w:rsidP="009B09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Operational Costs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CBD41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$192,162</w:t>
            </w:r>
          </w:p>
        </w:tc>
      </w:tr>
      <w:tr w:rsidR="009B093A" w:rsidRPr="009B093A" w14:paraId="77B9C482" w14:textId="77777777" w:rsidTr="004E370B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9B7C" w14:textId="77777777" w:rsidR="009B093A" w:rsidRPr="009B093A" w:rsidRDefault="009B093A" w:rsidP="009B093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Staff</w:t>
            </w:r>
            <w:r>
              <w:rPr>
                <w:rFonts w:ascii="Arial" w:eastAsia="Times New Roman" w:hAnsi="Arial" w:cs="Arial"/>
                <w:color w:val="000000"/>
              </w:rPr>
              <w:t xml:space="preserve"> Costs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A83B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$871,201</w:t>
            </w:r>
          </w:p>
        </w:tc>
      </w:tr>
      <w:tr w:rsidR="009B093A" w:rsidRPr="009B093A" w14:paraId="30F58862" w14:textId="77777777" w:rsidTr="004E370B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B0B4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093A">
              <w:rPr>
                <w:rFonts w:ascii="Arial" w:eastAsia="Times New Roman" w:hAnsi="Arial" w:cs="Arial"/>
                <w:color w:val="000000"/>
              </w:rPr>
              <w:t>Operational and Staffing Sub-Total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BBE70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>$1,063,363</w:t>
            </w:r>
          </w:p>
        </w:tc>
      </w:tr>
      <w:tr w:rsidR="009B093A" w:rsidRPr="009B093A" w14:paraId="6B05973F" w14:textId="77777777" w:rsidTr="004E370B">
        <w:trPr>
          <w:trHeight w:val="315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DEC32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B16C7" w14:textId="77777777" w:rsidR="009B093A" w:rsidRPr="009B093A" w:rsidRDefault="009B093A" w:rsidP="009B0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093A">
              <w:rPr>
                <w:rFonts w:ascii="Arial" w:eastAsia="Times New Roman" w:hAnsi="Arial" w:cs="Arial"/>
                <w:b/>
                <w:bCs/>
                <w:color w:val="000000"/>
              </w:rPr>
              <w:t>$2,965,908</w:t>
            </w:r>
          </w:p>
        </w:tc>
      </w:tr>
    </w:tbl>
    <w:p w14:paraId="50884C9D" w14:textId="7BE29EED" w:rsidR="00F643A4" w:rsidRPr="004E370B" w:rsidRDefault="00F643A4" w:rsidP="00F643A4">
      <w:pPr>
        <w:spacing w:before="160"/>
        <w:jc w:val="both"/>
        <w:rPr>
          <w:rFonts w:ascii="Arial" w:eastAsia="Times New Roman" w:hAnsi="Arial" w:cs="Arial"/>
          <w:i/>
          <w:sz w:val="20"/>
          <w:szCs w:val="20"/>
        </w:rPr>
      </w:pPr>
      <w:r w:rsidRPr="004E370B">
        <w:rPr>
          <w:rFonts w:ascii="Arial" w:eastAsia="Times New Roman" w:hAnsi="Arial" w:cs="Arial"/>
          <w:i/>
          <w:sz w:val="20"/>
          <w:szCs w:val="20"/>
          <w:u w:val="single"/>
        </w:rPr>
        <w:t>Blue</w:t>
      </w:r>
      <w:r w:rsidRPr="004E370B">
        <w:rPr>
          <w:rFonts w:ascii="Arial" w:eastAsia="Times New Roman" w:hAnsi="Arial" w:cs="Arial"/>
          <w:i/>
          <w:sz w:val="20"/>
          <w:szCs w:val="20"/>
        </w:rPr>
        <w:t xml:space="preserve"> – These funds are dis</w:t>
      </w:r>
      <w:r w:rsidR="006D25C7" w:rsidRPr="004E370B">
        <w:rPr>
          <w:rFonts w:ascii="Arial" w:eastAsia="Times New Roman" w:hAnsi="Arial" w:cs="Arial"/>
          <w:i/>
          <w:sz w:val="20"/>
          <w:szCs w:val="20"/>
        </w:rPr>
        <w:t>burs</w:t>
      </w:r>
      <w:r w:rsidRPr="004E370B">
        <w:rPr>
          <w:rFonts w:ascii="Arial" w:eastAsia="Times New Roman" w:hAnsi="Arial" w:cs="Arial"/>
          <w:i/>
          <w:sz w:val="20"/>
          <w:szCs w:val="20"/>
        </w:rPr>
        <w:t xml:space="preserve">ed according to statute </w:t>
      </w:r>
      <w:r w:rsidR="006D25C7" w:rsidRPr="004E370B">
        <w:rPr>
          <w:rFonts w:ascii="Arial" w:eastAsia="Times New Roman" w:hAnsi="Arial" w:cs="Arial"/>
          <w:i/>
          <w:sz w:val="20"/>
          <w:szCs w:val="20"/>
        </w:rPr>
        <w:t xml:space="preserve">or EMSA requirements for EMTs. </w:t>
      </w:r>
    </w:p>
    <w:p w14:paraId="17EFFF46" w14:textId="05A1303B" w:rsidR="00F643A4" w:rsidRPr="004E370B" w:rsidRDefault="00F643A4" w:rsidP="00F643A4">
      <w:pPr>
        <w:jc w:val="both"/>
        <w:rPr>
          <w:rFonts w:ascii="Arial" w:eastAsia="Times New Roman" w:hAnsi="Arial" w:cs="Arial"/>
          <w:i/>
          <w:sz w:val="20"/>
          <w:szCs w:val="20"/>
        </w:rPr>
      </w:pPr>
      <w:r w:rsidRPr="004E370B">
        <w:rPr>
          <w:rFonts w:ascii="Arial" w:eastAsia="Times New Roman" w:hAnsi="Arial" w:cs="Arial"/>
          <w:i/>
          <w:sz w:val="20"/>
          <w:szCs w:val="20"/>
          <w:u w:val="single"/>
        </w:rPr>
        <w:t>Green</w:t>
      </w:r>
      <w:r w:rsidRPr="004E370B">
        <w:rPr>
          <w:rFonts w:ascii="Arial" w:eastAsia="Times New Roman" w:hAnsi="Arial" w:cs="Arial"/>
          <w:i/>
          <w:sz w:val="20"/>
          <w:szCs w:val="20"/>
        </w:rPr>
        <w:t xml:space="preserve"> – </w:t>
      </w:r>
      <w:r w:rsidR="007D5D04" w:rsidRPr="004E370B">
        <w:rPr>
          <w:rFonts w:ascii="Arial" w:eastAsia="Times New Roman" w:hAnsi="Arial" w:cs="Arial"/>
          <w:i/>
          <w:sz w:val="20"/>
          <w:szCs w:val="20"/>
        </w:rPr>
        <w:t xml:space="preserve">This </w:t>
      </w:r>
      <w:r w:rsidR="009B093A" w:rsidRPr="004E370B">
        <w:rPr>
          <w:rFonts w:ascii="Arial" w:eastAsia="Times New Roman" w:hAnsi="Arial" w:cs="Arial"/>
          <w:i/>
          <w:sz w:val="20"/>
          <w:szCs w:val="20"/>
        </w:rPr>
        <w:t xml:space="preserve">section </w:t>
      </w:r>
      <w:r w:rsidR="00B34E86" w:rsidRPr="004E370B">
        <w:rPr>
          <w:rFonts w:ascii="Arial" w:eastAsia="Times New Roman" w:hAnsi="Arial" w:cs="Arial"/>
          <w:i/>
          <w:sz w:val="20"/>
          <w:szCs w:val="20"/>
        </w:rPr>
        <w:t>includes</w:t>
      </w:r>
      <w:r w:rsidR="009B093A" w:rsidRPr="004E370B">
        <w:rPr>
          <w:rFonts w:ascii="Arial" w:eastAsia="Times New Roman" w:hAnsi="Arial" w:cs="Arial"/>
          <w:i/>
          <w:sz w:val="20"/>
          <w:szCs w:val="20"/>
        </w:rPr>
        <w:t xml:space="preserve"> the </w:t>
      </w:r>
      <w:r w:rsidR="00FE041A" w:rsidRPr="004E370B">
        <w:rPr>
          <w:rFonts w:ascii="Arial" w:eastAsia="Times New Roman" w:hAnsi="Arial" w:cs="Arial"/>
          <w:i/>
          <w:sz w:val="20"/>
          <w:szCs w:val="20"/>
        </w:rPr>
        <w:t xml:space="preserve">Administrative portion of the </w:t>
      </w:r>
      <w:r w:rsidR="009B093A" w:rsidRPr="004E370B">
        <w:rPr>
          <w:rFonts w:ascii="Arial" w:eastAsia="Times New Roman" w:hAnsi="Arial" w:cs="Arial"/>
          <w:i/>
          <w:sz w:val="20"/>
          <w:szCs w:val="20"/>
        </w:rPr>
        <w:t>Maddy/Richie Fund</w:t>
      </w:r>
      <w:r w:rsidR="00B34E86" w:rsidRPr="004E370B">
        <w:rPr>
          <w:rFonts w:ascii="Arial" w:eastAsia="Times New Roman" w:hAnsi="Arial" w:cs="Arial"/>
          <w:i/>
          <w:sz w:val="20"/>
          <w:szCs w:val="20"/>
        </w:rPr>
        <w:t>,</w:t>
      </w:r>
      <w:r w:rsidR="009B093A" w:rsidRPr="004E370B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B34E86" w:rsidRPr="004E370B">
        <w:rPr>
          <w:rFonts w:ascii="Arial" w:eastAsia="Times New Roman" w:hAnsi="Arial" w:cs="Arial"/>
          <w:i/>
          <w:sz w:val="20"/>
          <w:szCs w:val="20"/>
        </w:rPr>
        <w:t>which is</w:t>
      </w:r>
      <w:r w:rsidR="009B093A" w:rsidRPr="004E370B">
        <w:rPr>
          <w:rFonts w:ascii="Arial" w:eastAsia="Times New Roman" w:hAnsi="Arial" w:cs="Arial"/>
          <w:i/>
          <w:sz w:val="20"/>
          <w:szCs w:val="20"/>
        </w:rPr>
        <w:t xml:space="preserve"> budgeted</w:t>
      </w:r>
      <w:r w:rsidRPr="004E370B">
        <w:rPr>
          <w:rFonts w:ascii="Arial" w:eastAsia="Times New Roman" w:hAnsi="Arial" w:cs="Arial"/>
          <w:i/>
          <w:sz w:val="20"/>
          <w:szCs w:val="20"/>
        </w:rPr>
        <w:t xml:space="preserve"> for </w:t>
      </w:r>
      <w:r w:rsidR="00B34E86" w:rsidRPr="004E370B">
        <w:rPr>
          <w:rFonts w:ascii="Arial" w:eastAsia="Times New Roman" w:hAnsi="Arial" w:cs="Arial"/>
          <w:i/>
          <w:sz w:val="20"/>
          <w:szCs w:val="20"/>
        </w:rPr>
        <w:t xml:space="preserve">the </w:t>
      </w:r>
      <w:r w:rsidRPr="004E370B">
        <w:rPr>
          <w:rFonts w:ascii="Arial" w:eastAsia="Times New Roman" w:hAnsi="Arial" w:cs="Arial"/>
          <w:i/>
          <w:sz w:val="20"/>
          <w:szCs w:val="20"/>
        </w:rPr>
        <w:t>Advanced Medical Management, Inc</w:t>
      </w:r>
      <w:r w:rsidR="00E44002" w:rsidRPr="004E370B">
        <w:rPr>
          <w:rFonts w:ascii="Arial" w:eastAsia="Times New Roman" w:hAnsi="Arial" w:cs="Arial"/>
          <w:i/>
          <w:sz w:val="20"/>
          <w:szCs w:val="20"/>
        </w:rPr>
        <w:t>.</w:t>
      </w:r>
      <w:r w:rsidR="00B34E86" w:rsidRPr="004E370B">
        <w:rPr>
          <w:rFonts w:ascii="Arial" w:eastAsia="Times New Roman" w:hAnsi="Arial" w:cs="Arial"/>
          <w:i/>
          <w:sz w:val="20"/>
          <w:szCs w:val="20"/>
        </w:rPr>
        <w:t xml:space="preserve"> contract</w:t>
      </w:r>
      <w:r w:rsidR="00E44002" w:rsidRPr="004E370B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B34E86" w:rsidRPr="004E370B">
        <w:rPr>
          <w:rFonts w:ascii="Arial" w:eastAsia="Times New Roman" w:hAnsi="Arial" w:cs="Arial"/>
          <w:i/>
          <w:sz w:val="20"/>
          <w:szCs w:val="20"/>
        </w:rPr>
        <w:t>and</w:t>
      </w:r>
      <w:r w:rsidR="00E44002" w:rsidRPr="004E370B">
        <w:rPr>
          <w:rFonts w:ascii="Arial" w:eastAsia="Times New Roman" w:hAnsi="Arial" w:cs="Arial"/>
          <w:i/>
          <w:sz w:val="20"/>
          <w:szCs w:val="20"/>
        </w:rPr>
        <w:t xml:space="preserve"> county administrative costs</w:t>
      </w:r>
      <w:r w:rsidRPr="004E370B">
        <w:rPr>
          <w:rFonts w:ascii="Arial" w:eastAsia="Times New Roman" w:hAnsi="Arial" w:cs="Arial"/>
          <w:i/>
          <w:sz w:val="20"/>
          <w:szCs w:val="20"/>
        </w:rPr>
        <w:t xml:space="preserve">.  </w:t>
      </w:r>
      <w:r w:rsidR="000530EF" w:rsidRPr="004E370B">
        <w:rPr>
          <w:rFonts w:ascii="Arial" w:eastAsia="Times New Roman" w:hAnsi="Arial" w:cs="Arial"/>
          <w:i/>
          <w:sz w:val="20"/>
          <w:szCs w:val="20"/>
        </w:rPr>
        <w:t>Non-</w:t>
      </w:r>
      <w:r w:rsidR="00B34E86" w:rsidRPr="004E370B">
        <w:rPr>
          <w:rFonts w:ascii="Arial" w:eastAsia="Times New Roman" w:hAnsi="Arial" w:cs="Arial"/>
          <w:i/>
          <w:sz w:val="20"/>
          <w:szCs w:val="20"/>
        </w:rPr>
        <w:t xml:space="preserve">negotiable service contracts necessary to conduct EMS regulatory operations and </w:t>
      </w:r>
      <w:r w:rsidR="000530EF" w:rsidRPr="004E370B">
        <w:rPr>
          <w:rFonts w:ascii="Arial" w:eastAsia="Times New Roman" w:hAnsi="Arial" w:cs="Arial"/>
          <w:i/>
          <w:sz w:val="20"/>
          <w:szCs w:val="20"/>
        </w:rPr>
        <w:t>non-</w:t>
      </w:r>
      <w:r w:rsidR="00B34E86" w:rsidRPr="004E370B">
        <w:rPr>
          <w:rFonts w:ascii="Arial" w:eastAsia="Times New Roman" w:hAnsi="Arial" w:cs="Arial"/>
          <w:i/>
          <w:sz w:val="20"/>
          <w:szCs w:val="20"/>
        </w:rPr>
        <w:t>negotiable allocated costs comprise the remaining administrative expenditures.</w:t>
      </w:r>
    </w:p>
    <w:p w14:paraId="6D20EAE8" w14:textId="26D88738" w:rsidR="00B34E86" w:rsidRPr="004E370B" w:rsidRDefault="00B34E86" w:rsidP="00F643A4">
      <w:pPr>
        <w:jc w:val="both"/>
        <w:rPr>
          <w:rFonts w:ascii="Arial" w:eastAsia="Times New Roman" w:hAnsi="Arial" w:cs="Arial"/>
          <w:i/>
          <w:sz w:val="20"/>
          <w:szCs w:val="20"/>
        </w:rPr>
      </w:pPr>
      <w:r w:rsidRPr="004E370B">
        <w:rPr>
          <w:rFonts w:ascii="Arial" w:eastAsia="Times New Roman" w:hAnsi="Arial" w:cs="Arial"/>
          <w:i/>
          <w:sz w:val="20"/>
          <w:szCs w:val="20"/>
          <w:u w:val="single"/>
        </w:rPr>
        <w:t>White</w:t>
      </w:r>
      <w:r w:rsidR="006D25C7" w:rsidRPr="004E370B">
        <w:rPr>
          <w:rFonts w:ascii="Arial" w:eastAsia="Times New Roman" w:hAnsi="Arial" w:cs="Arial"/>
          <w:i/>
          <w:sz w:val="20"/>
          <w:szCs w:val="20"/>
        </w:rPr>
        <w:t xml:space="preserve"> – These represent</w:t>
      </w:r>
      <w:r w:rsidRPr="004E370B">
        <w:rPr>
          <w:rFonts w:ascii="Arial" w:eastAsia="Times New Roman" w:hAnsi="Arial" w:cs="Arial"/>
          <w:i/>
          <w:sz w:val="20"/>
          <w:szCs w:val="20"/>
        </w:rPr>
        <w:t xml:space="preserve"> the EMS operating budget for staffing and operational costs necessary to perform the work of the agency.</w:t>
      </w:r>
    </w:p>
    <w:p w14:paraId="22E0B541" w14:textId="16490DB5" w:rsidR="00B34E86" w:rsidRDefault="00B34E86" w:rsidP="00F643A4">
      <w:pPr>
        <w:jc w:val="both"/>
        <w:rPr>
          <w:rFonts w:ascii="Arial" w:eastAsia="Times New Roman" w:hAnsi="Arial" w:cs="Arial"/>
        </w:rPr>
      </w:pPr>
    </w:p>
    <w:p w14:paraId="0B9F869D" w14:textId="77777777" w:rsidR="00775131" w:rsidRDefault="00775131" w:rsidP="00F643A4">
      <w:pPr>
        <w:jc w:val="both"/>
        <w:rPr>
          <w:rFonts w:ascii="Arial" w:eastAsia="Times New Roman" w:hAnsi="Arial" w:cs="Arial"/>
        </w:rPr>
      </w:pPr>
    </w:p>
    <w:p w14:paraId="2196328A" w14:textId="77777777" w:rsidR="00F643A4" w:rsidRPr="00580F7A" w:rsidRDefault="00F643A4" w:rsidP="00F643A4">
      <w:pPr>
        <w:jc w:val="both"/>
        <w:rPr>
          <w:rFonts w:ascii="Arial" w:eastAsia="Times New Roman" w:hAnsi="Arial" w:cs="Arial"/>
        </w:rPr>
      </w:pPr>
      <w:r w:rsidRPr="00580F7A">
        <w:rPr>
          <w:rFonts w:ascii="Arial" w:eastAsia="Times New Roman" w:hAnsi="Arial" w:cs="Arial"/>
        </w:rPr>
        <w:t>*EMS annual contracts total $362,500 and include:</w:t>
      </w:r>
    </w:p>
    <w:p w14:paraId="1A1DAD41" w14:textId="77777777" w:rsidR="00F643A4" w:rsidRPr="00580F7A" w:rsidRDefault="00F643A4" w:rsidP="00F643A4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580F7A">
        <w:rPr>
          <w:rFonts w:ascii="Arial" w:eastAsia="Times New Roman" w:hAnsi="Arial" w:cs="Arial"/>
          <w:u w:val="single"/>
        </w:rPr>
        <w:t>American College of Surgeons ($30,000)</w:t>
      </w:r>
      <w:r w:rsidRPr="00580F7A">
        <w:rPr>
          <w:rFonts w:ascii="Arial" w:eastAsia="Times New Roman" w:hAnsi="Arial" w:cs="Arial"/>
        </w:rPr>
        <w:t xml:space="preserve"> – Performs site inspections and accredits Sacramento County Trauma Hospitals (UC Davis Medical Center, Mercy San Juan Medical Center, </w:t>
      </w:r>
      <w:r w:rsidRPr="00580F7A">
        <w:rPr>
          <w:rFonts w:ascii="Arial" w:eastAsia="Times New Roman" w:hAnsi="Arial" w:cs="Arial"/>
        </w:rPr>
        <w:lastRenderedPageBreak/>
        <w:t>Kaiser Permanente-South and Sutter Roseville Medical Center).</w:t>
      </w:r>
    </w:p>
    <w:p w14:paraId="7F8C5746" w14:textId="77777777" w:rsidR="00F643A4" w:rsidRPr="00580F7A" w:rsidRDefault="00F643A4" w:rsidP="00F643A4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580F7A">
        <w:rPr>
          <w:rFonts w:ascii="Arial" w:eastAsia="Times New Roman" w:hAnsi="Arial" w:cs="Arial"/>
          <w:u w:val="single"/>
        </w:rPr>
        <w:t>The Permanente Medical Group ($122,500)</w:t>
      </w:r>
      <w:r w:rsidRPr="00580F7A">
        <w:rPr>
          <w:rFonts w:ascii="Arial" w:eastAsia="Times New Roman" w:hAnsi="Arial" w:cs="Arial"/>
        </w:rPr>
        <w:t xml:space="preserve"> – Provides statute required medical oversight (Medical Director) for the EMS program.</w:t>
      </w:r>
    </w:p>
    <w:p w14:paraId="45FD0F44" w14:textId="77777777" w:rsidR="00F643A4" w:rsidRPr="00580F7A" w:rsidRDefault="00F643A4" w:rsidP="00F643A4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580F7A">
        <w:rPr>
          <w:rFonts w:ascii="Arial" w:eastAsia="Times New Roman" w:hAnsi="Arial" w:cs="Arial"/>
          <w:u w:val="single"/>
        </w:rPr>
        <w:t>Inland Counties EMS Agency ($35,000)</w:t>
      </w:r>
      <w:r w:rsidRPr="00580F7A">
        <w:rPr>
          <w:rFonts w:ascii="Arial" w:eastAsia="Times New Roman" w:hAnsi="Arial" w:cs="Arial"/>
        </w:rPr>
        <w:t xml:space="preserve"> – Provides EMS trauma and prehospital data repository for reporting.</w:t>
      </w:r>
    </w:p>
    <w:p w14:paraId="183F80D7" w14:textId="77777777" w:rsidR="00F643A4" w:rsidRPr="00580F7A" w:rsidRDefault="00F643A4" w:rsidP="00F643A4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580F7A">
        <w:rPr>
          <w:rFonts w:ascii="Arial" w:eastAsia="Times New Roman" w:hAnsi="Arial" w:cs="Arial"/>
          <w:u w:val="single"/>
        </w:rPr>
        <w:t>Coastal Valleys EMS Agency: Cardiac Arrest Registry for Enhanced Survival (CARES) ($7,000)</w:t>
      </w:r>
      <w:r w:rsidRPr="00580F7A">
        <w:rPr>
          <w:rFonts w:ascii="Arial" w:eastAsia="Times New Roman" w:hAnsi="Arial" w:cs="Arial"/>
        </w:rPr>
        <w:t xml:space="preserve"> – Fee for participation in the statewide program to measure performance and to improve cardiac survival rates within the community. </w:t>
      </w:r>
    </w:p>
    <w:p w14:paraId="573E897A" w14:textId="77777777" w:rsidR="00F643A4" w:rsidRDefault="00F643A4" w:rsidP="00F643A4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580F7A">
        <w:rPr>
          <w:rFonts w:ascii="Arial" w:eastAsia="Times New Roman" w:hAnsi="Arial" w:cs="Arial"/>
          <w:u w:val="single"/>
        </w:rPr>
        <w:t>Advanced Medical Management, Inc. ($136,500)</w:t>
      </w:r>
      <w:r w:rsidRPr="00580F7A">
        <w:rPr>
          <w:rFonts w:ascii="Arial" w:eastAsia="Times New Roman" w:hAnsi="Arial" w:cs="Arial"/>
        </w:rPr>
        <w:t xml:space="preserve"> – Administers and adjudicates the County Physician Emergency Medical Services (PEMS) medical claims for the indigent per statute. This contract was </w:t>
      </w:r>
      <w:r w:rsidR="00D926E6" w:rsidRPr="00580F7A">
        <w:rPr>
          <w:rFonts w:ascii="Arial" w:eastAsia="Times New Roman" w:hAnsi="Arial" w:cs="Arial"/>
        </w:rPr>
        <w:t xml:space="preserve">budgeted at $168,000 and </w:t>
      </w:r>
      <w:r w:rsidRPr="00580F7A">
        <w:rPr>
          <w:rFonts w:ascii="Arial" w:eastAsia="Times New Roman" w:hAnsi="Arial" w:cs="Arial"/>
        </w:rPr>
        <w:t xml:space="preserve">renegotiated down to $136,500. The FY 19-20 savings will offset unavoidable </w:t>
      </w:r>
      <w:r w:rsidR="00D926E6" w:rsidRPr="00580F7A">
        <w:rPr>
          <w:rFonts w:ascii="Arial" w:eastAsia="Times New Roman" w:hAnsi="Arial" w:cs="Arial"/>
        </w:rPr>
        <w:t>staffing cost</w:t>
      </w:r>
      <w:r w:rsidRPr="00580F7A">
        <w:rPr>
          <w:rFonts w:ascii="Arial" w:eastAsia="Times New Roman" w:hAnsi="Arial" w:cs="Arial"/>
        </w:rPr>
        <w:t xml:space="preserve"> increases. In FY 20-21, the savings will offset the </w:t>
      </w:r>
      <w:r w:rsidR="00D926E6" w:rsidRPr="00580F7A">
        <w:rPr>
          <w:rFonts w:ascii="Arial" w:eastAsia="Times New Roman" w:hAnsi="Arial" w:cs="Arial"/>
        </w:rPr>
        <w:t>cost of living increase.</w:t>
      </w:r>
    </w:p>
    <w:p w14:paraId="152CF134" w14:textId="77777777" w:rsidR="00B34E86" w:rsidRDefault="00B34E8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25A75E9E" w14:textId="77777777" w:rsidR="004E370B" w:rsidRDefault="004E370B" w:rsidP="004E370B">
      <w:pPr>
        <w:jc w:val="center"/>
        <w:rPr>
          <w:rFonts w:ascii="Arial" w:hAnsi="Arial" w:cs="Arial"/>
          <w:b/>
          <w:sz w:val="24"/>
          <w:szCs w:val="24"/>
        </w:rPr>
      </w:pPr>
    </w:p>
    <w:p w14:paraId="782E103C" w14:textId="2D86C103" w:rsidR="00562CB2" w:rsidRPr="004E370B" w:rsidRDefault="004E370B" w:rsidP="004E37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 EMS Agency F</w:t>
      </w:r>
      <w:r w:rsidR="00562CB2" w:rsidRPr="004E370B">
        <w:rPr>
          <w:rFonts w:ascii="Arial" w:hAnsi="Arial" w:cs="Arial"/>
          <w:b/>
          <w:sz w:val="24"/>
          <w:szCs w:val="24"/>
        </w:rPr>
        <w:t>unding</w:t>
      </w:r>
      <w:r w:rsidR="001C6382" w:rsidRPr="004E370B">
        <w:rPr>
          <w:rFonts w:ascii="Arial" w:hAnsi="Arial" w:cs="Arial"/>
          <w:b/>
          <w:sz w:val="24"/>
          <w:szCs w:val="24"/>
        </w:rPr>
        <w:t xml:space="preserve"> </w:t>
      </w:r>
      <w:r w:rsidR="00562CB2" w:rsidRPr="004E370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ources</w:t>
      </w:r>
    </w:p>
    <w:p w14:paraId="1A31BE6B" w14:textId="5DFFC5B9" w:rsidR="00711F4D" w:rsidRDefault="00784BFF" w:rsidP="002011FB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There are several funding sources used by other local EMS agencies (LEMSA). </w:t>
      </w:r>
      <w:r w:rsidR="004E370B">
        <w:rPr>
          <w:rFonts w:ascii="Arial" w:eastAsia="Times New Roman" w:hAnsi="Arial" w:cs="Arial"/>
          <w:color w:val="000000"/>
        </w:rPr>
        <w:t>Funding sources and annual revenue generated are displayed below.</w:t>
      </w:r>
    </w:p>
    <w:p w14:paraId="0162C2A7" w14:textId="77777777" w:rsidR="00711F4D" w:rsidRPr="002011FB" w:rsidRDefault="00711F4D" w:rsidP="0082199D">
      <w:pPr>
        <w:spacing w:after="0"/>
        <w:ind w:left="-990"/>
        <w:contextualSpacing/>
        <w:jc w:val="both"/>
        <w:rPr>
          <w:rFonts w:ascii="Arial" w:eastAsia="Times New Roman" w:hAnsi="Arial" w:cs="Arial"/>
          <w:color w:val="000000"/>
          <w:highlight w:val="yellow"/>
        </w:rPr>
      </w:pP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440"/>
        <w:gridCol w:w="1810"/>
        <w:gridCol w:w="1564"/>
        <w:gridCol w:w="1440"/>
        <w:gridCol w:w="1366"/>
        <w:gridCol w:w="1109"/>
      </w:tblGrid>
      <w:tr w:rsidR="002011FB" w:rsidRPr="0082199D" w14:paraId="0B251BAC" w14:textId="77777777" w:rsidTr="007210AA">
        <w:trPr>
          <w:trHeight w:val="1215"/>
          <w:jc w:val="center"/>
        </w:trPr>
        <w:tc>
          <w:tcPr>
            <w:tcW w:w="1710" w:type="dxa"/>
            <w:shd w:val="clear" w:color="auto" w:fill="D7E7F0" w:themeFill="accent1" w:themeFillTint="33"/>
            <w:vAlign w:val="center"/>
            <w:hideMark/>
          </w:tcPr>
          <w:p w14:paraId="4C5B8151" w14:textId="2CFDEEBF" w:rsidR="00711F4D" w:rsidRPr="0082199D" w:rsidRDefault="00711F4D" w:rsidP="007210A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Local EMS Agency</w:t>
            </w:r>
          </w:p>
        </w:tc>
        <w:tc>
          <w:tcPr>
            <w:tcW w:w="1440" w:type="dxa"/>
            <w:shd w:val="clear" w:color="auto" w:fill="D7E7F0" w:themeFill="accent1" w:themeFillTint="33"/>
            <w:vAlign w:val="center"/>
            <w:hideMark/>
          </w:tcPr>
          <w:p w14:paraId="6D7CDB9C" w14:textId="77777777" w:rsidR="00711F4D" w:rsidRPr="0082199D" w:rsidRDefault="00822C1A" w:rsidP="0082199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Ordinance Revenue</w:t>
            </w:r>
          </w:p>
        </w:tc>
        <w:tc>
          <w:tcPr>
            <w:tcW w:w="1810" w:type="dxa"/>
            <w:shd w:val="clear" w:color="auto" w:fill="D7E7F0" w:themeFill="accent1" w:themeFillTint="33"/>
            <w:vAlign w:val="center"/>
            <w:hideMark/>
          </w:tcPr>
          <w:p w14:paraId="6A01F20B" w14:textId="3FE18D23" w:rsidR="00711F4D" w:rsidRPr="0082199D" w:rsidRDefault="00711F4D" w:rsidP="0082199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EMS Oversight</w:t>
            </w:r>
            <w:r w:rsidR="007210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219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</w:t>
            </w:r>
            <w:r w:rsidR="007210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219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Monitoring Fee</w:t>
            </w:r>
            <w:r w:rsidR="008219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219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EOA Provider</w:t>
            </w:r>
            <w:r w:rsidR="00A912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4" w:type="dxa"/>
            <w:shd w:val="clear" w:color="auto" w:fill="D7E7F0" w:themeFill="accent1" w:themeFillTint="33"/>
            <w:vAlign w:val="center"/>
            <w:hideMark/>
          </w:tcPr>
          <w:p w14:paraId="67AF924B" w14:textId="77777777" w:rsidR="00711F4D" w:rsidRPr="0082199D" w:rsidRDefault="00711F4D" w:rsidP="0082199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Dispatch Fee EOA Provider</w:t>
            </w:r>
            <w:r w:rsidR="00A912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shd w:val="clear" w:color="auto" w:fill="D7E7F0" w:themeFill="accent1" w:themeFillTint="33"/>
            <w:vAlign w:val="center"/>
            <w:hideMark/>
          </w:tcPr>
          <w:p w14:paraId="558C4294" w14:textId="77777777" w:rsidR="00711F4D" w:rsidRPr="0082199D" w:rsidRDefault="00711F4D" w:rsidP="0082199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EMS Information System (Data) Fee</w:t>
            </w:r>
          </w:p>
        </w:tc>
        <w:tc>
          <w:tcPr>
            <w:tcW w:w="1366" w:type="dxa"/>
            <w:shd w:val="clear" w:color="auto" w:fill="D7E7F0" w:themeFill="accent1" w:themeFillTint="33"/>
            <w:vAlign w:val="center"/>
            <w:hideMark/>
          </w:tcPr>
          <w:p w14:paraId="00E300DC" w14:textId="77777777" w:rsidR="00711F4D" w:rsidRPr="0082199D" w:rsidRDefault="00711F4D" w:rsidP="0082199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First Responder Fees</w:t>
            </w:r>
          </w:p>
        </w:tc>
        <w:tc>
          <w:tcPr>
            <w:tcW w:w="1109" w:type="dxa"/>
            <w:shd w:val="clear" w:color="auto" w:fill="D7E7F0" w:themeFill="accent1" w:themeFillTint="33"/>
            <w:vAlign w:val="center"/>
            <w:hideMark/>
          </w:tcPr>
          <w:p w14:paraId="1FA4AA47" w14:textId="77777777" w:rsidR="00711F4D" w:rsidRPr="0082199D" w:rsidRDefault="00711F4D" w:rsidP="0082199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Fines Charged</w:t>
            </w:r>
          </w:p>
        </w:tc>
      </w:tr>
      <w:tr w:rsidR="00822C1A" w:rsidRPr="0082199D" w14:paraId="0F0F0984" w14:textId="77777777" w:rsidTr="007210AA">
        <w:trPr>
          <w:trHeight w:val="480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9A3451A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Alameda County EMS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9ECDB2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$7,005,422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224626A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7845B5FF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63F5F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6DFE82A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DA482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822C1A" w:rsidRPr="0082199D" w14:paraId="5A585A3E" w14:textId="77777777" w:rsidTr="007210AA">
        <w:trPr>
          <w:trHeight w:val="480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EECBE68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California EMS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51711F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2E6DAE32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40C0786D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$810,800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D8B34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E62A826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D98F39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822C1A" w:rsidRPr="0082199D" w14:paraId="1A344432" w14:textId="77777777" w:rsidTr="007210AA">
        <w:trPr>
          <w:trHeight w:val="480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A8AE2E1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 Costa County EMS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2E89DD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$1,178,607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4D6B98A2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33CB654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F93A40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03C5A7B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67E11F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822C1A" w:rsidRPr="0082199D" w14:paraId="4DD852D0" w14:textId="77777777" w:rsidTr="007210AA">
        <w:trPr>
          <w:trHeight w:val="600"/>
          <w:jc w:val="center"/>
        </w:trPr>
        <w:tc>
          <w:tcPr>
            <w:tcW w:w="1710" w:type="dxa"/>
            <w:shd w:val="clear" w:color="auto" w:fill="auto"/>
            <w:vAlign w:val="center"/>
            <w:hideMark/>
          </w:tcPr>
          <w:p w14:paraId="6228F526" w14:textId="77777777" w:rsidR="00711F4D" w:rsidRPr="0082199D" w:rsidRDefault="00711F4D" w:rsidP="00821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Inland Counties Emergency Medical Agency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519B7A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4DC68E02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$903,000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5542B1C6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AAEAF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A05177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0621550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822C1A" w:rsidRPr="0082199D" w14:paraId="7564623E" w14:textId="77777777" w:rsidTr="007210AA">
        <w:trPr>
          <w:trHeight w:val="600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7EEDCA9B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Angeles County EMS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3828AC2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$2,700,222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4211DE10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4280DE62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E035E2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0880089B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32D6CC32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822C1A" w:rsidRPr="0082199D" w14:paraId="6485931F" w14:textId="77777777" w:rsidTr="007210AA">
        <w:trPr>
          <w:trHeight w:val="480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719DAB0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Mountain Valley EMS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E756A6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$144,286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36F3E770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$296,067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460271F4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DA754E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5D31F1B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$700,000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5D2C9E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822C1A" w:rsidRPr="0082199D" w14:paraId="58BD5147" w14:textId="77777777" w:rsidTr="007210AA">
        <w:trPr>
          <w:trHeight w:val="480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369F17D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Orange County EMS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623176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4C1048D1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27C668AC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AA53CC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E5D6D42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356700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822C1A" w:rsidRPr="0082199D" w14:paraId="7B8ABCFB" w14:textId="77777777" w:rsidTr="007210AA">
        <w:trPr>
          <w:trHeight w:val="480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E3E84E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Riverside County EMS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53FE8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64588D8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$485,000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343A8A5A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$325,000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DA606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$420,000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8B15B17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0024A6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2011FB" w:rsidRPr="0082199D" w14:paraId="1420B205" w14:textId="77777777" w:rsidTr="007210AA">
        <w:trPr>
          <w:trHeight w:val="480"/>
          <w:jc w:val="center"/>
        </w:trPr>
        <w:tc>
          <w:tcPr>
            <w:tcW w:w="1710" w:type="dxa"/>
            <w:shd w:val="clear" w:color="auto" w:fill="D7E7F0" w:themeFill="accent1" w:themeFillTint="33"/>
            <w:noWrap/>
            <w:vAlign w:val="center"/>
            <w:hideMark/>
          </w:tcPr>
          <w:p w14:paraId="1480F0BB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Sacramento County EMS </w:t>
            </w:r>
          </w:p>
        </w:tc>
        <w:tc>
          <w:tcPr>
            <w:tcW w:w="1440" w:type="dxa"/>
            <w:shd w:val="clear" w:color="auto" w:fill="D7E7F0" w:themeFill="accent1" w:themeFillTint="33"/>
            <w:noWrap/>
            <w:vAlign w:val="center"/>
            <w:hideMark/>
          </w:tcPr>
          <w:p w14:paraId="31A0000A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10" w:type="dxa"/>
            <w:shd w:val="clear" w:color="auto" w:fill="D7E7F0" w:themeFill="accent1" w:themeFillTint="33"/>
            <w:noWrap/>
            <w:vAlign w:val="center"/>
            <w:hideMark/>
          </w:tcPr>
          <w:p w14:paraId="622E4BC2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64" w:type="dxa"/>
            <w:shd w:val="clear" w:color="auto" w:fill="D7E7F0" w:themeFill="accent1" w:themeFillTint="33"/>
            <w:noWrap/>
            <w:vAlign w:val="center"/>
            <w:hideMark/>
          </w:tcPr>
          <w:p w14:paraId="251D404C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D7E7F0" w:themeFill="accent1" w:themeFillTint="33"/>
            <w:noWrap/>
            <w:vAlign w:val="center"/>
            <w:hideMark/>
          </w:tcPr>
          <w:p w14:paraId="6E386FE2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6" w:type="dxa"/>
            <w:shd w:val="clear" w:color="auto" w:fill="D7E7F0" w:themeFill="accent1" w:themeFillTint="33"/>
            <w:noWrap/>
            <w:vAlign w:val="center"/>
            <w:hideMark/>
          </w:tcPr>
          <w:p w14:paraId="06292DDC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09" w:type="dxa"/>
            <w:shd w:val="clear" w:color="auto" w:fill="D7E7F0" w:themeFill="accent1" w:themeFillTint="33"/>
            <w:noWrap/>
            <w:vAlign w:val="center"/>
            <w:hideMark/>
          </w:tcPr>
          <w:p w14:paraId="74D11507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2C1A" w:rsidRPr="0082199D" w14:paraId="1E475C06" w14:textId="77777777" w:rsidTr="007210AA">
        <w:trPr>
          <w:trHeight w:val="480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55A22B0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Diego County EMS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F18E9C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$6,048,897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26F8B3E4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2E19F4AA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CBF87F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008F8B5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39DFB1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822C1A" w:rsidRPr="0082199D" w14:paraId="6BEA8108" w14:textId="77777777" w:rsidTr="007210AA">
        <w:trPr>
          <w:trHeight w:val="480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2A21A09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Joaquin County EMS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CDAC8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6060880A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$675,000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724FCF0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C6593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659A82A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951F9C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822C1A" w:rsidRPr="0082199D" w14:paraId="76A50064" w14:textId="77777777" w:rsidTr="007210AA">
        <w:trPr>
          <w:trHeight w:val="480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E64F630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Mateo County EMS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4540AB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55CEA08F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$425,484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72F26FE1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$1,127,559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BAF416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432D8D0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$4,739,669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B4A82F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822C1A" w:rsidRPr="0082199D" w14:paraId="1B861756" w14:textId="77777777" w:rsidTr="007210AA">
        <w:trPr>
          <w:trHeight w:val="480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30CFD0E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Santa Clara County EMS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54DE53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16E1E0A2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$984,217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72736F74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87B5B8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E5321FE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4BF86C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822C1A" w:rsidRPr="0082199D" w14:paraId="39350CFA" w14:textId="77777777" w:rsidTr="007210AA">
        <w:trPr>
          <w:trHeight w:val="480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239F864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Solano County EMS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FAC602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238AFE9E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$500,000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2656AD3C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40AA14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9C9AA34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936276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822C1A" w:rsidRPr="0082199D" w14:paraId="2DB0ADA0" w14:textId="77777777" w:rsidTr="007210AA">
        <w:trPr>
          <w:trHeight w:val="480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33FB0EE" w14:textId="77777777" w:rsidR="00711F4D" w:rsidRPr="0082199D" w:rsidRDefault="00711F4D" w:rsidP="00B22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Yolo County EMS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7379B1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52107655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$300,000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5C987E9B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3DF771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14AA2EA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589DF5" w14:textId="77777777" w:rsidR="00711F4D" w:rsidRPr="0082199D" w:rsidRDefault="00711F4D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9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</w:tr>
    </w:tbl>
    <w:p w14:paraId="6E01A2FF" w14:textId="764BE042" w:rsidR="00711F4D" w:rsidRPr="00580F7A" w:rsidRDefault="00580F7A" w:rsidP="002011FB">
      <w:pPr>
        <w:tabs>
          <w:tab w:val="left" w:pos="90"/>
        </w:tabs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7210AA">
        <w:rPr>
          <w:rFonts w:ascii="Arial" w:hAnsi="Arial" w:cs="Arial"/>
          <w:i/>
        </w:rPr>
        <w:t>Fund</w:t>
      </w:r>
      <w:r w:rsidR="004E370B">
        <w:rPr>
          <w:rFonts w:ascii="Arial" w:hAnsi="Arial" w:cs="Arial"/>
          <w:i/>
        </w:rPr>
        <w:t>ing</w:t>
      </w:r>
      <w:r>
        <w:rPr>
          <w:rFonts w:ascii="Arial" w:hAnsi="Arial" w:cs="Arial"/>
          <w:i/>
        </w:rPr>
        <w:t xml:space="preserve"> sources not available to Sacramento County due to the Settlement Agreement with the Fire Agencies.</w:t>
      </w:r>
    </w:p>
    <w:p w14:paraId="4FD7029A" w14:textId="77777777" w:rsidR="00065D5E" w:rsidRDefault="00065D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8BB26E" w14:textId="77777777" w:rsidR="002011FB" w:rsidRPr="004E370B" w:rsidRDefault="002011FB" w:rsidP="004E370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370B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Revenue Comparison with Other LEMSAs</w:t>
      </w:r>
    </w:p>
    <w:p w14:paraId="3848C954" w14:textId="791150F1" w:rsidR="002011FB" w:rsidRPr="002011FB" w:rsidRDefault="002011FB" w:rsidP="002011FB">
      <w:pPr>
        <w:jc w:val="both"/>
        <w:rPr>
          <w:rFonts w:ascii="Arial" w:eastAsia="Times New Roman" w:hAnsi="Arial" w:cs="Arial"/>
          <w:color w:val="000000"/>
        </w:rPr>
      </w:pPr>
      <w:r w:rsidRPr="002011FB">
        <w:rPr>
          <w:rFonts w:ascii="Arial" w:eastAsia="Times New Roman" w:hAnsi="Arial" w:cs="Arial"/>
          <w:color w:val="000000"/>
        </w:rPr>
        <w:t>S</w:t>
      </w:r>
      <w:r w:rsidR="001C6382">
        <w:rPr>
          <w:rFonts w:ascii="Arial" w:eastAsia="Times New Roman" w:hAnsi="Arial" w:cs="Arial"/>
          <w:color w:val="000000"/>
        </w:rPr>
        <w:t>acramento County EMS</w:t>
      </w:r>
      <w:r w:rsidRPr="002011FB">
        <w:rPr>
          <w:rFonts w:ascii="Arial" w:eastAsia="Times New Roman" w:hAnsi="Arial" w:cs="Arial"/>
          <w:color w:val="000000"/>
        </w:rPr>
        <w:t xml:space="preserve"> is funded primarily through </w:t>
      </w:r>
      <w:r w:rsidR="004E370B">
        <w:rPr>
          <w:rFonts w:ascii="Arial" w:eastAsia="Times New Roman" w:hAnsi="Arial" w:cs="Arial"/>
          <w:color w:val="000000"/>
        </w:rPr>
        <w:t>Vehicle Code Fines (VCF), also known as Maddy Fund</w:t>
      </w:r>
      <w:r w:rsidR="007D6F86">
        <w:rPr>
          <w:rFonts w:ascii="Arial" w:eastAsia="Times New Roman" w:hAnsi="Arial" w:cs="Arial"/>
          <w:color w:val="000000"/>
        </w:rPr>
        <w:t>.  O</w:t>
      </w:r>
      <w:r w:rsidRPr="002011FB">
        <w:rPr>
          <w:rFonts w:ascii="Arial" w:eastAsia="Times New Roman" w:hAnsi="Arial" w:cs="Arial"/>
          <w:color w:val="000000"/>
        </w:rPr>
        <w:t xml:space="preserve">ther </w:t>
      </w:r>
      <w:r w:rsidR="007D6F86">
        <w:rPr>
          <w:rFonts w:ascii="Arial" w:eastAsia="Times New Roman" w:hAnsi="Arial" w:cs="Arial"/>
          <w:color w:val="000000"/>
        </w:rPr>
        <w:t>c</w:t>
      </w:r>
      <w:r w:rsidRPr="002011FB">
        <w:rPr>
          <w:rFonts w:ascii="Arial" w:eastAsia="Times New Roman" w:hAnsi="Arial" w:cs="Arial"/>
          <w:color w:val="000000"/>
        </w:rPr>
        <w:t xml:space="preserve">ounties receive the majority of their funding through exclusive operating area fees, personnel fees, or bonds/measures. </w:t>
      </w:r>
      <w:r w:rsidR="007D6F86">
        <w:rPr>
          <w:rFonts w:ascii="Arial" w:eastAsia="Times New Roman" w:hAnsi="Arial" w:cs="Arial"/>
          <w:color w:val="00000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0"/>
        <w:gridCol w:w="1913"/>
        <w:gridCol w:w="1280"/>
        <w:gridCol w:w="1365"/>
        <w:gridCol w:w="1924"/>
        <w:gridCol w:w="1004"/>
      </w:tblGrid>
      <w:tr w:rsidR="00FE041A" w:rsidRPr="002011FB" w14:paraId="10D95921" w14:textId="77777777" w:rsidTr="00FE041A">
        <w:trPr>
          <w:trHeight w:val="780"/>
        </w:trPr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0" w:themeFill="accent1" w:themeFillTint="33"/>
            <w:noWrap/>
            <w:vAlign w:val="center"/>
            <w:hideMark/>
          </w:tcPr>
          <w:p w14:paraId="5B606B2A" w14:textId="77777777" w:rsidR="00760C2C" w:rsidRPr="002011FB" w:rsidRDefault="00760C2C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11FB">
              <w:rPr>
                <w:rFonts w:ascii="Arial" w:eastAsia="Times New Roman" w:hAnsi="Arial" w:cs="Arial"/>
                <w:b/>
                <w:bCs/>
                <w:color w:val="000000"/>
              </w:rPr>
              <w:t>Agency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  <w:hideMark/>
          </w:tcPr>
          <w:p w14:paraId="1CFC0752" w14:textId="77777777" w:rsidR="00760C2C" w:rsidRPr="002011FB" w:rsidRDefault="00FE041A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Vehicle Code Fine (VCF) </w:t>
            </w:r>
            <w:r w:rsidR="00760C2C" w:rsidRPr="002011FB">
              <w:rPr>
                <w:rFonts w:ascii="Arial" w:eastAsia="Times New Roman" w:hAnsi="Arial" w:cs="Arial"/>
                <w:b/>
                <w:bCs/>
              </w:rPr>
              <w:t>Maddy</w:t>
            </w:r>
            <w:r w:rsidR="00760C2C">
              <w:rPr>
                <w:rFonts w:ascii="Arial" w:eastAsia="Times New Roman" w:hAnsi="Arial" w:cs="Arial"/>
                <w:b/>
                <w:bCs/>
              </w:rPr>
              <w:t>/Richie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7E7F0" w:themeFill="accent1" w:themeFillTint="33"/>
            <w:vAlign w:val="center"/>
            <w:hideMark/>
          </w:tcPr>
          <w:p w14:paraId="0BB19F32" w14:textId="77777777" w:rsidR="00760C2C" w:rsidRPr="002011FB" w:rsidRDefault="00760C2C" w:rsidP="00760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1FB">
              <w:rPr>
                <w:rFonts w:ascii="Arial" w:eastAsia="Times New Roman" w:hAnsi="Arial" w:cs="Arial"/>
                <w:b/>
                <w:bCs/>
              </w:rPr>
              <w:t>Personnel Fees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  <w:hideMark/>
          </w:tcPr>
          <w:p w14:paraId="383502CD" w14:textId="77777777" w:rsidR="00760C2C" w:rsidRPr="002011FB" w:rsidRDefault="00760C2C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1FB">
              <w:rPr>
                <w:rFonts w:ascii="Arial" w:eastAsia="Times New Roman" w:hAnsi="Arial" w:cs="Arial"/>
                <w:b/>
                <w:bCs/>
              </w:rPr>
              <w:t>General Fund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7E7F0" w:themeFill="accent1" w:themeFillTint="33"/>
            <w:vAlign w:val="center"/>
            <w:hideMark/>
          </w:tcPr>
          <w:p w14:paraId="64B950CE" w14:textId="77777777" w:rsidR="00760C2C" w:rsidRPr="002011FB" w:rsidRDefault="00760C2C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1FB">
              <w:rPr>
                <w:rFonts w:ascii="Arial" w:eastAsia="Times New Roman" w:hAnsi="Arial" w:cs="Arial"/>
                <w:b/>
                <w:bCs/>
              </w:rPr>
              <w:t>Bonds or Measures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0" w:themeFill="accent1" w:themeFillTint="33"/>
            <w:vAlign w:val="center"/>
            <w:hideMark/>
          </w:tcPr>
          <w:p w14:paraId="345DE2FA" w14:textId="77777777" w:rsidR="00760C2C" w:rsidRPr="002011FB" w:rsidRDefault="00760C2C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1FB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FE041A" w:rsidRPr="002011FB" w14:paraId="237CDBA2" w14:textId="77777777" w:rsidTr="00A82BB2">
        <w:trPr>
          <w:trHeight w:val="302"/>
        </w:trPr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0553" w14:textId="77777777" w:rsidR="00760C2C" w:rsidRPr="002011FB" w:rsidRDefault="00760C2C" w:rsidP="00A82BB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011FB">
              <w:rPr>
                <w:rFonts w:ascii="Arial" w:eastAsia="Times New Roman" w:hAnsi="Arial" w:cs="Arial"/>
                <w:bCs/>
                <w:color w:val="000000"/>
              </w:rPr>
              <w:t>Sacramento County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4627" w14:textId="77777777" w:rsidR="00760C2C" w:rsidRPr="002011FB" w:rsidRDefault="00760C2C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77.2%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4A0987" w14:textId="77777777" w:rsidR="00760C2C" w:rsidRPr="002011FB" w:rsidRDefault="00760C2C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1FB">
              <w:rPr>
                <w:rFonts w:ascii="Arial" w:eastAsia="Times New Roman" w:hAnsi="Arial" w:cs="Arial"/>
              </w:rPr>
              <w:t>18.2%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6532" w14:textId="77777777" w:rsidR="00760C2C" w:rsidRPr="002011FB" w:rsidRDefault="00760C2C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1FB">
              <w:rPr>
                <w:rFonts w:ascii="Arial" w:eastAsia="Times New Roman" w:hAnsi="Arial" w:cs="Arial"/>
              </w:rPr>
              <w:t>4.6%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A3113F" w14:textId="5C5BF019" w:rsidR="00760C2C" w:rsidRPr="002011FB" w:rsidRDefault="007D6F86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96ED0" w14:textId="77777777" w:rsidR="00760C2C" w:rsidRPr="002011FB" w:rsidRDefault="00760C2C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1FB">
              <w:rPr>
                <w:rFonts w:ascii="Arial" w:eastAsia="Times New Roman" w:hAnsi="Arial" w:cs="Arial"/>
              </w:rPr>
              <w:t>100.0%</w:t>
            </w:r>
          </w:p>
        </w:tc>
      </w:tr>
      <w:tr w:rsidR="00FE041A" w:rsidRPr="002011FB" w14:paraId="354F2E76" w14:textId="77777777" w:rsidTr="00A82BB2">
        <w:trPr>
          <w:trHeight w:val="302"/>
        </w:trPr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A6ED" w14:textId="77777777" w:rsidR="00760C2C" w:rsidRPr="002011FB" w:rsidRDefault="00760C2C" w:rsidP="00A82BB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011FB">
              <w:rPr>
                <w:rFonts w:ascii="Arial" w:eastAsia="Times New Roman" w:hAnsi="Arial" w:cs="Arial"/>
                <w:bCs/>
                <w:color w:val="000000"/>
              </w:rPr>
              <w:t>Comparable Counties*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9A1A" w14:textId="77777777" w:rsidR="00760C2C" w:rsidRPr="002011FB" w:rsidRDefault="00760C2C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10.7</w:t>
            </w:r>
            <w:r w:rsidRPr="002011FB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6C6A4" w14:textId="77777777" w:rsidR="00760C2C" w:rsidRPr="002011FB" w:rsidRDefault="00760C2C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1FB">
              <w:rPr>
                <w:rFonts w:ascii="Arial" w:eastAsia="Times New Roman" w:hAnsi="Arial" w:cs="Arial"/>
              </w:rPr>
              <w:t>66.0%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4A56" w14:textId="77777777" w:rsidR="00760C2C" w:rsidRPr="002011FB" w:rsidRDefault="00760C2C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1FB">
              <w:rPr>
                <w:rFonts w:ascii="Arial" w:eastAsia="Times New Roman" w:hAnsi="Arial" w:cs="Arial"/>
              </w:rPr>
              <w:t>13.0%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38708" w14:textId="77777777" w:rsidR="00760C2C" w:rsidRPr="002011FB" w:rsidRDefault="00760C2C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1FB">
              <w:rPr>
                <w:rFonts w:ascii="Arial" w:eastAsia="Times New Roman" w:hAnsi="Arial" w:cs="Arial"/>
              </w:rPr>
              <w:t>10.3%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003D1" w14:textId="77777777" w:rsidR="00760C2C" w:rsidRPr="002011FB" w:rsidRDefault="00760C2C" w:rsidP="00B22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1FB">
              <w:rPr>
                <w:rFonts w:ascii="Arial" w:eastAsia="Times New Roman" w:hAnsi="Arial" w:cs="Arial"/>
              </w:rPr>
              <w:t>100.0%</w:t>
            </w:r>
          </w:p>
        </w:tc>
      </w:tr>
    </w:tbl>
    <w:p w14:paraId="39B62DEC" w14:textId="77777777" w:rsidR="002011FB" w:rsidRPr="002011FB" w:rsidRDefault="002011FB" w:rsidP="002011FB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2011FB">
        <w:rPr>
          <w:rFonts w:ascii="Arial" w:eastAsia="Times New Roman" w:hAnsi="Arial" w:cs="Arial"/>
          <w:color w:val="000000"/>
        </w:rPr>
        <w:t>*</w:t>
      </w:r>
      <w:r w:rsidRPr="002011FB">
        <w:rPr>
          <w:rFonts w:ascii="Arial" w:eastAsia="Times New Roman" w:hAnsi="Arial" w:cs="Arial"/>
          <w:i/>
          <w:color w:val="000000"/>
        </w:rPr>
        <w:t>Alameda, Central Valley (Fresno), Contra Costa, El Dorado, Inland Counties, Riverside, San Joaquin, Santa Clara, Sierra-Sacramento Valley, Solano, and Ventura</w:t>
      </w:r>
      <w:r w:rsidRPr="002011FB">
        <w:rPr>
          <w:rFonts w:ascii="Arial" w:eastAsia="Times New Roman" w:hAnsi="Arial" w:cs="Arial"/>
          <w:color w:val="000000"/>
        </w:rPr>
        <w:t>.</w:t>
      </w:r>
    </w:p>
    <w:p w14:paraId="1D0C9466" w14:textId="77777777" w:rsidR="002011FB" w:rsidRDefault="002011FB" w:rsidP="002011FB">
      <w:pPr>
        <w:tabs>
          <w:tab w:val="left" w:pos="90"/>
        </w:tabs>
        <w:rPr>
          <w:rFonts w:ascii="Arial" w:hAnsi="Arial" w:cs="Arial"/>
        </w:rPr>
      </w:pPr>
    </w:p>
    <w:p w14:paraId="06A5C27B" w14:textId="77777777" w:rsidR="00D36E4F" w:rsidRDefault="00760C2C" w:rsidP="00E22D38">
      <w:pPr>
        <w:tabs>
          <w:tab w:val="left" w:pos="9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DBBE0CF" wp14:editId="44AD2FE5">
            <wp:extent cx="5172075" cy="29908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022AFB8" w14:textId="77777777" w:rsidR="00065D5E" w:rsidRDefault="00065D5E" w:rsidP="00E22D38">
      <w:pPr>
        <w:tabs>
          <w:tab w:val="left" w:pos="9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F731578" wp14:editId="58D005BB">
            <wp:extent cx="5172075" cy="3200400"/>
            <wp:effectExtent l="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65D5E" w:rsidSect="00775131">
      <w:footerReference w:type="default" r:id="rId10"/>
      <w:pgSz w:w="12240" w:h="15840"/>
      <w:pgMar w:top="720" w:right="1152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13E7" w14:textId="77777777" w:rsidR="00775131" w:rsidRDefault="00775131" w:rsidP="00775131">
      <w:pPr>
        <w:spacing w:after="0" w:line="240" w:lineRule="auto"/>
      </w:pPr>
      <w:r>
        <w:separator/>
      </w:r>
    </w:p>
  </w:endnote>
  <w:endnote w:type="continuationSeparator" w:id="0">
    <w:p w14:paraId="120FA98A" w14:textId="77777777" w:rsidR="00775131" w:rsidRDefault="00775131" w:rsidP="0077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721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E1B6D" w14:textId="3D60CDC4" w:rsidR="00775131" w:rsidRDefault="007751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2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C3EAB9" w14:textId="77777777" w:rsidR="00775131" w:rsidRDefault="00775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554D4" w14:textId="77777777" w:rsidR="00775131" w:rsidRDefault="00775131" w:rsidP="00775131">
      <w:pPr>
        <w:spacing w:after="0" w:line="240" w:lineRule="auto"/>
      </w:pPr>
      <w:r>
        <w:separator/>
      </w:r>
    </w:p>
  </w:footnote>
  <w:footnote w:type="continuationSeparator" w:id="0">
    <w:p w14:paraId="5A071619" w14:textId="77777777" w:rsidR="00775131" w:rsidRDefault="00775131" w:rsidP="00775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2EC0"/>
    <w:multiLevelType w:val="hybridMultilevel"/>
    <w:tmpl w:val="453ED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0C90"/>
    <w:multiLevelType w:val="hybridMultilevel"/>
    <w:tmpl w:val="0A70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3D46"/>
    <w:multiLevelType w:val="hybridMultilevel"/>
    <w:tmpl w:val="A91A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C2EFC"/>
    <w:multiLevelType w:val="hybridMultilevel"/>
    <w:tmpl w:val="81AC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47"/>
    <w:rsid w:val="0001271A"/>
    <w:rsid w:val="000247E2"/>
    <w:rsid w:val="00050689"/>
    <w:rsid w:val="000530EF"/>
    <w:rsid w:val="00065D5E"/>
    <w:rsid w:val="001A22DA"/>
    <w:rsid w:val="001C6382"/>
    <w:rsid w:val="002011FB"/>
    <w:rsid w:val="0033422E"/>
    <w:rsid w:val="003531BE"/>
    <w:rsid w:val="003F5315"/>
    <w:rsid w:val="004070D2"/>
    <w:rsid w:val="004506B6"/>
    <w:rsid w:val="00487976"/>
    <w:rsid w:val="004D0A6F"/>
    <w:rsid w:val="004E370B"/>
    <w:rsid w:val="00562CB2"/>
    <w:rsid w:val="00580F7A"/>
    <w:rsid w:val="006168CC"/>
    <w:rsid w:val="0064224D"/>
    <w:rsid w:val="006835E4"/>
    <w:rsid w:val="006D25C7"/>
    <w:rsid w:val="00711F3C"/>
    <w:rsid w:val="00711F4D"/>
    <w:rsid w:val="007210AA"/>
    <w:rsid w:val="00756163"/>
    <w:rsid w:val="00760C2C"/>
    <w:rsid w:val="00775131"/>
    <w:rsid w:val="00784BFF"/>
    <w:rsid w:val="007D5D04"/>
    <w:rsid w:val="007D6F86"/>
    <w:rsid w:val="0082199D"/>
    <w:rsid w:val="00822C1A"/>
    <w:rsid w:val="008866D7"/>
    <w:rsid w:val="008A69F3"/>
    <w:rsid w:val="009B093A"/>
    <w:rsid w:val="00A642BE"/>
    <w:rsid w:val="00A82BB2"/>
    <w:rsid w:val="00A9129F"/>
    <w:rsid w:val="00B22D15"/>
    <w:rsid w:val="00B33335"/>
    <w:rsid w:val="00B34E86"/>
    <w:rsid w:val="00BA6747"/>
    <w:rsid w:val="00BD1C5F"/>
    <w:rsid w:val="00C80D1C"/>
    <w:rsid w:val="00D36E4F"/>
    <w:rsid w:val="00D7684F"/>
    <w:rsid w:val="00D926E6"/>
    <w:rsid w:val="00D9412B"/>
    <w:rsid w:val="00E22D38"/>
    <w:rsid w:val="00E44002"/>
    <w:rsid w:val="00E83266"/>
    <w:rsid w:val="00EA01FB"/>
    <w:rsid w:val="00EB077C"/>
    <w:rsid w:val="00F00B55"/>
    <w:rsid w:val="00F2218C"/>
    <w:rsid w:val="00F643A4"/>
    <w:rsid w:val="00FE041A"/>
    <w:rsid w:val="00FE208D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7AE2"/>
  <w15:chartTrackingRefBased/>
  <w15:docId w15:val="{980691A6-544E-4711-BA35-242730DE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3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5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31"/>
  </w:style>
  <w:style w:type="paragraph" w:styleId="Footer">
    <w:name w:val="footer"/>
    <w:basedOn w:val="Normal"/>
    <w:link w:val="FooterChar"/>
    <w:uiPriority w:val="99"/>
    <w:unhideWhenUsed/>
    <w:rsid w:val="00775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NS1\Workgrps\Primary-Health\EMS\Fees\2019%20New%20Fees\LEMSA%20Fees%202017-18%20Final%202.5.2018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>
                <a:solidFill>
                  <a:sysClr val="windowText" lastClr="000000"/>
                </a:solidFill>
              </a:rPr>
              <a:t>Sacramento County Funding</a:t>
            </a:r>
          </a:p>
        </c:rich>
      </c:tx>
      <c:layout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'Comp Counties'!$I$18</c:f>
              <c:strCache>
                <c:ptCount val="1"/>
                <c:pt idx="0">
                  <c:v>Sacramento County Funding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43B-4A5D-98EF-5BD39623DA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43B-4A5D-98EF-5BD39623DA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43B-4A5D-98EF-5BD39623DA0A}"/>
              </c:ext>
            </c:extLst>
          </c:dPt>
          <c:dLbls>
            <c:dLbl>
              <c:idx val="0"/>
              <c:layout>
                <c:manualLayout>
                  <c:x val="3.9990790624856103E-2"/>
                  <c:y val="-0.1068531415522519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43B-4A5D-98EF-5BD39623DA0A}"/>
                </c:ext>
              </c:extLst>
            </c:dLbl>
            <c:dLbl>
              <c:idx val="1"/>
              <c:layout>
                <c:manualLayout>
                  <c:x val="4.3629414744209607E-4"/>
                  <c:y val="-1.897344059429438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43B-4A5D-98EF-5BD39623DA0A}"/>
                </c:ext>
              </c:extLst>
            </c:dLbl>
            <c:dLbl>
              <c:idx val="2"/>
              <c:layout>
                <c:manualLayout>
                  <c:x val="2.0032578800578106E-2"/>
                  <c:y val="1.005801026464049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43B-4A5D-98EF-5BD39623DA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'Comp Counties'!$J$17:$L$17</c:f>
              <c:strCache>
                <c:ptCount val="3"/>
                <c:pt idx="0">
                  <c:v>VCF</c:v>
                </c:pt>
                <c:pt idx="1">
                  <c:v>Personnel Fees</c:v>
                </c:pt>
                <c:pt idx="2">
                  <c:v>General Fund</c:v>
                </c:pt>
              </c:strCache>
            </c:strRef>
          </c:cat>
          <c:val>
            <c:numRef>
              <c:f>'Comp Counties'!$J$18:$L$18</c:f>
              <c:numCache>
                <c:formatCode>0.0%</c:formatCode>
                <c:ptCount val="3"/>
                <c:pt idx="0">
                  <c:v>0.77200000000000002</c:v>
                </c:pt>
                <c:pt idx="1">
                  <c:v>0.182</c:v>
                </c:pt>
                <c:pt idx="2">
                  <c:v>4.58E-2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43B-4A5D-98EF-5BD39623DA0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5.2757056683704014E-2"/>
          <c:y val="0.8098159386127689"/>
          <c:w val="0.86524589031634214"/>
          <c:h val="0.16130297407091629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 b="1">
                <a:solidFill>
                  <a:schemeClr val="tx1"/>
                </a:solidFill>
              </a:rPr>
              <a:t>Comparable Counties' </a:t>
            </a:r>
            <a:r>
              <a:rPr lang="en-US" sz="1400" b="1" i="0" u="none" strike="noStrike" baseline="0">
                <a:effectLst/>
              </a:rPr>
              <a:t>Funding</a:t>
            </a:r>
            <a:endParaRPr lang="en-US" sz="1400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25811789151356079"/>
          <c:y val="3.7037037037037035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'Comp Counties'!$I$21</c:f>
              <c:strCache>
                <c:ptCount val="1"/>
                <c:pt idx="0">
                  <c:v>Funding for Comparable Counties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307-438F-9E73-7F114E9AB1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307-438F-9E73-7F114E9AB1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307-438F-9E73-7F114E9AB1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307-438F-9E73-7F114E9AB140}"/>
              </c:ext>
            </c:extLst>
          </c:dPt>
          <c:dLbls>
            <c:dLbl>
              <c:idx val="0"/>
              <c:layout>
                <c:manualLayout>
                  <c:x val="-2.6852690288713912E-2"/>
                  <c:y val="1.47539370078740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307-438F-9E73-7F114E9AB140}"/>
                </c:ext>
              </c:extLst>
            </c:dLbl>
            <c:dLbl>
              <c:idx val="1"/>
              <c:layout>
                <c:manualLayout>
                  <c:x val="5.238888888888879E-2"/>
                  <c:y val="-0.1100164041994750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307-438F-9E73-7F114E9AB140}"/>
                </c:ext>
              </c:extLst>
            </c:dLbl>
            <c:dLbl>
              <c:idx val="2"/>
              <c:layout>
                <c:manualLayout>
                  <c:x val="-1.5606955380577429E-3"/>
                  <c:y val="3.30322251385243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307-438F-9E73-7F114E9AB140}"/>
                </c:ext>
              </c:extLst>
            </c:dLbl>
            <c:dLbl>
              <c:idx val="3"/>
              <c:layout>
                <c:manualLayout>
                  <c:x val="4.0913495188101487E-2"/>
                  <c:y val="1.3681466899970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307-438F-9E73-7F114E9AB14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'Comp Counties'!$J$20:$M$20</c:f>
              <c:strCache>
                <c:ptCount val="4"/>
                <c:pt idx="0">
                  <c:v>VCF</c:v>
                </c:pt>
                <c:pt idx="1">
                  <c:v>Personnel Fees</c:v>
                </c:pt>
                <c:pt idx="2">
                  <c:v>General Fund</c:v>
                </c:pt>
                <c:pt idx="3">
                  <c:v>Bonds or Measures</c:v>
                </c:pt>
              </c:strCache>
            </c:strRef>
          </c:cat>
          <c:val>
            <c:numRef>
              <c:f>'Comp Counties'!$J$21:$M$21</c:f>
              <c:numCache>
                <c:formatCode>0.0%</c:formatCode>
                <c:ptCount val="4"/>
                <c:pt idx="0">
                  <c:v>0.107</c:v>
                </c:pt>
                <c:pt idx="1">
                  <c:v>0.66</c:v>
                </c:pt>
                <c:pt idx="2">
                  <c:v>0.13</c:v>
                </c:pt>
                <c:pt idx="3">
                  <c:v>0.10299999999999999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307-438F-9E73-7F114E9AB1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layout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8D7EBB629947BD37FC410CD0D0D1" ma:contentTypeVersion="1" ma:contentTypeDescription="Create a new document." ma:contentTypeScope="" ma:versionID="ae33f66cae60fc5c7e39c7d618f4de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0d43bf0be583304e280f4717a398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71503-9F37-4EE9-9D6E-37D041BDC53E}"/>
</file>

<file path=customXml/itemProps2.xml><?xml version="1.0" encoding="utf-8"?>
<ds:datastoreItem xmlns:ds="http://schemas.openxmlformats.org/officeDocument/2006/customXml" ds:itemID="{93835296-2972-4586-A228-681116F73C2E}"/>
</file>

<file path=customXml/itemProps3.xml><?xml version="1.0" encoding="utf-8"?>
<ds:datastoreItem xmlns:ds="http://schemas.openxmlformats.org/officeDocument/2006/customXml" ds:itemID="{C19484D9-7DD3-4C3E-A1FD-4CE87D4B433E}"/>
</file>

<file path=customXml/itemProps4.xml><?xml version="1.0" encoding="utf-8"?>
<ds:datastoreItem xmlns:ds="http://schemas.openxmlformats.org/officeDocument/2006/customXml" ds:itemID="{369E9866-C93C-4647-A0C8-2FBF81CDE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4362</Characters>
  <Application>Microsoft Office Word</Application>
  <DocSecurity>4</DocSecurity>
  <Lines>111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Mello. Stephanie</dc:creator>
  <cp:keywords/>
  <dc:description/>
  <cp:lastModifiedBy>Magnino. David</cp:lastModifiedBy>
  <cp:revision>2</cp:revision>
  <cp:lastPrinted>2020-01-31T23:16:00Z</cp:lastPrinted>
  <dcterms:created xsi:type="dcterms:W3CDTF">2020-02-11T18:05:00Z</dcterms:created>
  <dcterms:modified xsi:type="dcterms:W3CDTF">2020-02-11T18:05:00Z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0x01010043A88D7EBB629947BD37FC410CD0D0D1</vt:lpwstr>
  </property>
</Properties>
</file>