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C9" w:rsidRDefault="00CA05C9" w:rsidP="009E2749">
      <w:pPr>
        <w:spacing w:after="0" w:line="240" w:lineRule="auto"/>
        <w:jc w:val="center"/>
        <w:rPr>
          <w:b/>
          <w:sz w:val="24"/>
          <w:szCs w:val="24"/>
        </w:rPr>
      </w:pPr>
      <w:r w:rsidRPr="002D33C5">
        <w:rPr>
          <w:b/>
          <w:sz w:val="24"/>
          <w:szCs w:val="24"/>
        </w:rPr>
        <w:t>EMS</w:t>
      </w:r>
      <w:r w:rsidR="002D33C5" w:rsidRPr="002D33C5">
        <w:rPr>
          <w:b/>
          <w:sz w:val="24"/>
          <w:szCs w:val="24"/>
        </w:rPr>
        <w:t xml:space="preserve"> Program Recommendations</w:t>
      </w:r>
    </w:p>
    <w:p w:rsidR="009E2749" w:rsidRPr="002D33C5" w:rsidRDefault="00231EEB" w:rsidP="009E2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Revised February 14, 2020</w:t>
      </w:r>
      <w:bookmarkStart w:id="0" w:name="_GoBack"/>
      <w:bookmarkEnd w:id="0"/>
    </w:p>
    <w:p w:rsidR="009E2749" w:rsidRDefault="009E2749" w:rsidP="00CA05C9">
      <w:pPr>
        <w:spacing w:line="240" w:lineRule="auto"/>
        <w:rPr>
          <w:rFonts w:cstheme="minorHAnsi"/>
          <w:sz w:val="24"/>
          <w:szCs w:val="24"/>
        </w:rPr>
      </w:pPr>
    </w:p>
    <w:p w:rsidR="002D33C5" w:rsidRDefault="00CA05C9" w:rsidP="009E2749">
      <w:pPr>
        <w:spacing w:line="240" w:lineRule="auto"/>
        <w:jc w:val="both"/>
        <w:rPr>
          <w:rFonts w:cstheme="minorHAnsi"/>
          <w:sz w:val="24"/>
          <w:szCs w:val="24"/>
        </w:rPr>
      </w:pPr>
      <w:r w:rsidRPr="00CA05C9">
        <w:rPr>
          <w:rFonts w:cstheme="minorHAnsi"/>
          <w:sz w:val="24"/>
          <w:szCs w:val="24"/>
        </w:rPr>
        <w:t>California Health and Safety Code</w:t>
      </w:r>
      <w:r w:rsidR="00536625">
        <w:rPr>
          <w:rFonts w:cstheme="minorHAnsi"/>
          <w:sz w:val="24"/>
          <w:szCs w:val="24"/>
        </w:rPr>
        <w:t xml:space="preserve"> (HSC)</w:t>
      </w:r>
      <w:r w:rsidRPr="00CA05C9">
        <w:rPr>
          <w:rFonts w:cstheme="minorHAnsi"/>
          <w:sz w:val="24"/>
          <w:szCs w:val="24"/>
        </w:rPr>
        <w:t xml:space="preserve"> and the California Code of Regulations</w:t>
      </w:r>
      <w:r w:rsidR="00536625">
        <w:rPr>
          <w:rFonts w:cstheme="minorHAnsi"/>
          <w:sz w:val="24"/>
          <w:szCs w:val="24"/>
        </w:rPr>
        <w:t xml:space="preserve"> (CCR)</w:t>
      </w:r>
      <w:r w:rsidRPr="00CA05C9">
        <w:rPr>
          <w:rFonts w:cstheme="minorHAnsi"/>
          <w:sz w:val="24"/>
          <w:szCs w:val="24"/>
        </w:rPr>
        <w:t xml:space="preserve"> set forth mandatory and permissive requirements for local EMS agencies. </w:t>
      </w:r>
    </w:p>
    <w:p w:rsidR="00CA05C9" w:rsidRPr="00CA05C9" w:rsidRDefault="00CA05C9" w:rsidP="009E2749">
      <w:pPr>
        <w:spacing w:line="240" w:lineRule="auto"/>
        <w:jc w:val="both"/>
        <w:rPr>
          <w:rFonts w:cstheme="minorHAnsi"/>
          <w:sz w:val="24"/>
          <w:szCs w:val="24"/>
        </w:rPr>
      </w:pPr>
      <w:r w:rsidRPr="00CA05C9">
        <w:rPr>
          <w:rFonts w:cstheme="minorHAnsi"/>
          <w:sz w:val="24"/>
          <w:szCs w:val="24"/>
        </w:rPr>
        <w:t xml:space="preserve">Historically SCEMSA has been </w:t>
      </w:r>
      <w:r w:rsidR="002D33C5">
        <w:rPr>
          <w:rFonts w:cstheme="minorHAnsi"/>
          <w:sz w:val="24"/>
          <w:szCs w:val="24"/>
        </w:rPr>
        <w:t>understaffed due to funding</w:t>
      </w:r>
      <w:r w:rsidRPr="00CA05C9">
        <w:rPr>
          <w:rFonts w:cstheme="minorHAnsi"/>
          <w:sz w:val="24"/>
          <w:szCs w:val="24"/>
        </w:rPr>
        <w:t xml:space="preserve">. </w:t>
      </w:r>
      <w:r w:rsidR="002D33C5">
        <w:rPr>
          <w:rFonts w:cstheme="minorHAnsi"/>
          <w:sz w:val="24"/>
          <w:szCs w:val="24"/>
        </w:rPr>
        <w:t xml:space="preserve"> </w:t>
      </w:r>
      <w:r w:rsidRPr="00CA05C9">
        <w:rPr>
          <w:rFonts w:cstheme="minorHAnsi"/>
          <w:sz w:val="24"/>
          <w:szCs w:val="24"/>
        </w:rPr>
        <w:t>While significant improvements have been made o</w:t>
      </w:r>
      <w:r w:rsidR="002D33C5">
        <w:rPr>
          <w:rFonts w:cstheme="minorHAnsi"/>
          <w:sz w:val="24"/>
          <w:szCs w:val="24"/>
        </w:rPr>
        <w:t xml:space="preserve">ver the past 5 years, </w:t>
      </w:r>
      <w:r w:rsidRPr="00CA05C9">
        <w:rPr>
          <w:rFonts w:cstheme="minorHAnsi"/>
          <w:sz w:val="24"/>
          <w:szCs w:val="24"/>
        </w:rPr>
        <w:t>there are s</w:t>
      </w:r>
      <w:r w:rsidR="003A4213">
        <w:rPr>
          <w:rFonts w:cstheme="minorHAnsi"/>
          <w:sz w:val="24"/>
          <w:szCs w:val="24"/>
        </w:rPr>
        <w:t>ome</w:t>
      </w:r>
      <w:r w:rsidRPr="00CA05C9">
        <w:rPr>
          <w:rFonts w:cstheme="minorHAnsi"/>
          <w:sz w:val="24"/>
          <w:szCs w:val="24"/>
        </w:rPr>
        <w:t xml:space="preserve"> responsibilities that EMS is either </w:t>
      </w:r>
      <w:r w:rsidR="002D33C5">
        <w:rPr>
          <w:rFonts w:cstheme="minorHAnsi"/>
          <w:sz w:val="24"/>
          <w:szCs w:val="24"/>
        </w:rPr>
        <w:t>not meeting or partially meeting</w:t>
      </w:r>
      <w:r w:rsidRPr="00CA05C9">
        <w:rPr>
          <w:rFonts w:cstheme="minorHAnsi"/>
          <w:sz w:val="24"/>
          <w:szCs w:val="24"/>
        </w:rPr>
        <w:t xml:space="preserve">. </w:t>
      </w:r>
      <w:r w:rsidR="002D33C5">
        <w:rPr>
          <w:rFonts w:cstheme="minorHAnsi"/>
          <w:sz w:val="24"/>
          <w:szCs w:val="24"/>
        </w:rPr>
        <w:t xml:space="preserve"> </w:t>
      </w:r>
    </w:p>
    <w:p w:rsidR="002D33C5" w:rsidRPr="002D33C5" w:rsidRDefault="002D33C5" w:rsidP="009E2749">
      <w:pPr>
        <w:spacing w:line="240" w:lineRule="auto"/>
        <w:jc w:val="center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  <w:u w:val="single"/>
        </w:rPr>
        <w:t>Statute Required Responsibilities</w:t>
      </w:r>
      <w:r w:rsidRPr="002D33C5">
        <w:rPr>
          <w:rFonts w:cstheme="minorHAnsi"/>
          <w:sz w:val="24"/>
          <w:szCs w:val="24"/>
        </w:rPr>
        <w:t xml:space="preserve">:  </w:t>
      </w:r>
      <w:r w:rsidRPr="00FC7F37">
        <w:rPr>
          <w:rFonts w:cstheme="minorHAnsi"/>
          <w:b/>
          <w:sz w:val="24"/>
          <w:szCs w:val="24"/>
          <w:highlight w:val="lightGray"/>
        </w:rPr>
        <w:t>Not Meeting</w:t>
      </w:r>
    </w:p>
    <w:p w:rsidR="002D33C5" w:rsidRPr="00CA05C9" w:rsidRDefault="002D33C5" w:rsidP="003F19E0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  <w:u w:val="single"/>
        </w:rPr>
        <w:t>Paramedic Programs:</w:t>
      </w:r>
      <w:r w:rsidRPr="002D33C5">
        <w:rPr>
          <w:rFonts w:cstheme="minorHAnsi"/>
          <w:sz w:val="24"/>
          <w:szCs w:val="24"/>
        </w:rPr>
        <w:t xml:space="preserve"> CCR, Title 22, Division 9, Chapter 4 – Emergency Medical Technician – Paramedic.</w:t>
      </w:r>
      <w:r>
        <w:rPr>
          <w:rFonts w:cstheme="minorHAnsi"/>
          <w:sz w:val="24"/>
          <w:szCs w:val="24"/>
        </w:rPr>
        <w:t xml:space="preserve">  </w:t>
      </w:r>
      <w:r w:rsidR="003F19E0">
        <w:rPr>
          <w:rFonts w:cstheme="minorHAnsi"/>
          <w:sz w:val="24"/>
          <w:szCs w:val="24"/>
        </w:rPr>
        <w:t>P</w:t>
      </w:r>
      <w:r w:rsidRPr="00CA05C9">
        <w:rPr>
          <w:rFonts w:cstheme="minorHAnsi"/>
          <w:sz w:val="24"/>
          <w:szCs w:val="24"/>
        </w:rPr>
        <w:t xml:space="preserve">rovisions not being completed </w:t>
      </w:r>
      <w:r w:rsidR="003F19E0">
        <w:rPr>
          <w:rFonts w:cstheme="minorHAnsi"/>
          <w:sz w:val="24"/>
          <w:szCs w:val="24"/>
        </w:rPr>
        <w:t>include:</w:t>
      </w:r>
    </w:p>
    <w:p w:rsidR="002D33C5" w:rsidRPr="003F19E0" w:rsidRDefault="002D33C5" w:rsidP="003F19E0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3F19E0">
        <w:rPr>
          <w:rFonts w:cstheme="minorHAnsi"/>
          <w:sz w:val="24"/>
          <w:szCs w:val="24"/>
        </w:rPr>
        <w:t xml:space="preserve">Paramedic Preceptors Program: </w:t>
      </w:r>
    </w:p>
    <w:p w:rsidR="002D33C5" w:rsidRPr="002D33C5" w:rsidRDefault="002D33C5" w:rsidP="009E2749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</w:rPr>
        <w:t xml:space="preserve">Oversight and written protocols/policies </w:t>
      </w:r>
    </w:p>
    <w:p w:rsidR="002D33C5" w:rsidRPr="002D33C5" w:rsidRDefault="00536625" w:rsidP="009E2749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Active preceptors tracking</w:t>
      </w:r>
    </w:p>
    <w:p w:rsidR="002D33C5" w:rsidRPr="002D33C5" w:rsidRDefault="002D33C5" w:rsidP="009E2749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</w:rPr>
        <w:t>Preceptor train</w:t>
      </w:r>
      <w:r w:rsidR="00536625">
        <w:rPr>
          <w:rFonts w:cstheme="minorHAnsi"/>
          <w:sz w:val="24"/>
          <w:szCs w:val="24"/>
        </w:rPr>
        <w:t>ing programs</w:t>
      </w:r>
    </w:p>
    <w:p w:rsidR="002D33C5" w:rsidRPr="002D33C5" w:rsidRDefault="002D33C5" w:rsidP="009E2749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</w:rPr>
        <w:t>Creation of hospi</w:t>
      </w:r>
      <w:r w:rsidR="00536625">
        <w:rPr>
          <w:rFonts w:cstheme="minorHAnsi"/>
          <w:sz w:val="24"/>
          <w:szCs w:val="24"/>
        </w:rPr>
        <w:t>tal clinical preceptor tracking</w:t>
      </w:r>
    </w:p>
    <w:p w:rsidR="002D33C5" w:rsidRPr="002D33C5" w:rsidRDefault="002D33C5" w:rsidP="009E2749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</w:rPr>
        <w:t>Track and assure notification of internship placement in other LEMSAs is occurring, including those coming into Sacramento County from outside programs.</w:t>
      </w:r>
    </w:p>
    <w:p w:rsidR="00CA05C9" w:rsidRPr="00087D58" w:rsidRDefault="00087D58" w:rsidP="003F19E0">
      <w:pPr>
        <w:spacing w:before="240" w:line="240" w:lineRule="auto"/>
        <w:jc w:val="center"/>
        <w:rPr>
          <w:rFonts w:cstheme="minorHAnsi"/>
          <w:sz w:val="24"/>
          <w:szCs w:val="24"/>
          <w:u w:val="single"/>
        </w:rPr>
      </w:pPr>
      <w:r w:rsidRPr="00087D58">
        <w:rPr>
          <w:rFonts w:cstheme="minorHAnsi"/>
          <w:sz w:val="24"/>
          <w:szCs w:val="24"/>
          <w:u w:val="single"/>
        </w:rPr>
        <w:t xml:space="preserve">Statute Required </w:t>
      </w:r>
      <w:r w:rsidR="002D33C5">
        <w:rPr>
          <w:rFonts w:cstheme="minorHAnsi"/>
          <w:sz w:val="24"/>
          <w:szCs w:val="24"/>
          <w:u w:val="single"/>
        </w:rPr>
        <w:t>Responsibilities</w:t>
      </w:r>
      <w:r w:rsidR="002D33C5">
        <w:rPr>
          <w:rFonts w:cstheme="minorHAnsi"/>
          <w:sz w:val="24"/>
          <w:szCs w:val="24"/>
        </w:rPr>
        <w:t xml:space="preserve">:  </w:t>
      </w:r>
      <w:r w:rsidR="002D33C5" w:rsidRPr="00FC7F37">
        <w:rPr>
          <w:rFonts w:cstheme="minorHAnsi"/>
          <w:b/>
          <w:sz w:val="24"/>
          <w:szCs w:val="24"/>
          <w:highlight w:val="lightGray"/>
        </w:rPr>
        <w:t>Partially Meeting</w:t>
      </w:r>
    </w:p>
    <w:p w:rsidR="002D33C5" w:rsidRDefault="00CA05C9" w:rsidP="009E2749">
      <w:pPr>
        <w:spacing w:line="240" w:lineRule="auto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  <w:u w:val="single"/>
        </w:rPr>
        <w:t>Investigations:</w:t>
      </w:r>
      <w:r w:rsidRPr="002D33C5">
        <w:rPr>
          <w:rFonts w:cstheme="minorHAnsi"/>
          <w:sz w:val="24"/>
          <w:szCs w:val="24"/>
        </w:rPr>
        <w:t xml:space="preserve"> </w:t>
      </w:r>
      <w:r w:rsidR="00536625">
        <w:rPr>
          <w:rFonts w:cstheme="minorHAnsi"/>
          <w:sz w:val="24"/>
          <w:szCs w:val="24"/>
        </w:rPr>
        <w:t xml:space="preserve"> </w:t>
      </w:r>
      <w:r w:rsidRPr="002D33C5">
        <w:rPr>
          <w:rFonts w:cstheme="minorHAnsi"/>
          <w:sz w:val="24"/>
          <w:szCs w:val="24"/>
        </w:rPr>
        <w:t>HSC, Division 2.5, Chapter 7, Section 1798.200 and CCR, Title 22, Division 9, Chapter 6.</w:t>
      </w:r>
      <w:r w:rsidR="002D33C5">
        <w:rPr>
          <w:rFonts w:cstheme="minorHAnsi"/>
          <w:sz w:val="24"/>
          <w:szCs w:val="24"/>
        </w:rPr>
        <w:t xml:space="preserve"> </w:t>
      </w:r>
      <w:r w:rsidRPr="002D33C5">
        <w:rPr>
          <w:rFonts w:cstheme="minorHAnsi"/>
          <w:sz w:val="24"/>
          <w:szCs w:val="24"/>
        </w:rPr>
        <w:t>Loc</w:t>
      </w:r>
      <w:r w:rsidR="002D33C5">
        <w:rPr>
          <w:rFonts w:cstheme="minorHAnsi"/>
          <w:sz w:val="24"/>
          <w:szCs w:val="24"/>
        </w:rPr>
        <w:t xml:space="preserve">al EMS Agency shall conduct </w:t>
      </w:r>
      <w:r w:rsidRPr="002D33C5">
        <w:rPr>
          <w:rFonts w:cstheme="minorHAnsi"/>
          <w:sz w:val="24"/>
          <w:szCs w:val="24"/>
        </w:rPr>
        <w:t xml:space="preserve">investigations to determine if disciplinary action is needed against an EMT or a paramedic when </w:t>
      </w:r>
      <w:r w:rsidR="002D33C5">
        <w:rPr>
          <w:rFonts w:cstheme="minorHAnsi"/>
          <w:sz w:val="24"/>
          <w:szCs w:val="24"/>
        </w:rPr>
        <w:t xml:space="preserve">there is </w:t>
      </w:r>
      <w:r w:rsidRPr="002D33C5">
        <w:rPr>
          <w:rFonts w:cstheme="minorHAnsi"/>
          <w:sz w:val="24"/>
          <w:szCs w:val="24"/>
        </w:rPr>
        <w:t>a violation of H</w:t>
      </w:r>
      <w:r w:rsidR="002D33C5">
        <w:rPr>
          <w:rFonts w:cstheme="minorHAnsi"/>
          <w:sz w:val="24"/>
          <w:szCs w:val="24"/>
        </w:rPr>
        <w:t>S</w:t>
      </w:r>
      <w:r w:rsidR="00536625">
        <w:rPr>
          <w:rFonts w:cstheme="minorHAnsi"/>
          <w:sz w:val="24"/>
          <w:szCs w:val="24"/>
        </w:rPr>
        <w:t>C</w:t>
      </w:r>
      <w:r w:rsidR="002D33C5">
        <w:rPr>
          <w:rFonts w:cstheme="minorHAnsi"/>
          <w:sz w:val="24"/>
          <w:szCs w:val="24"/>
        </w:rPr>
        <w:t xml:space="preserve"> Section 1798.200</w:t>
      </w:r>
      <w:r w:rsidRPr="002D33C5">
        <w:rPr>
          <w:rFonts w:cstheme="minorHAnsi"/>
          <w:sz w:val="24"/>
          <w:szCs w:val="24"/>
        </w:rPr>
        <w:t>(c) or C</w:t>
      </w:r>
      <w:r w:rsidR="002D33C5">
        <w:rPr>
          <w:rFonts w:cstheme="minorHAnsi"/>
          <w:sz w:val="24"/>
          <w:szCs w:val="24"/>
        </w:rPr>
        <w:t>CR Section 100214.3(c)</w:t>
      </w:r>
      <w:r w:rsidRPr="002D33C5">
        <w:rPr>
          <w:rFonts w:cstheme="minorHAnsi"/>
          <w:sz w:val="24"/>
          <w:szCs w:val="24"/>
        </w:rPr>
        <w:t xml:space="preserve">. </w:t>
      </w:r>
    </w:p>
    <w:p w:rsidR="002D33C5" w:rsidRDefault="002D33C5" w:rsidP="009E274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Investigation</w:t>
      </w:r>
      <w:r w:rsidR="0053662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BA334E">
        <w:rPr>
          <w:rFonts w:cstheme="minorHAnsi"/>
          <w:sz w:val="24"/>
          <w:szCs w:val="24"/>
        </w:rPr>
        <w:t xml:space="preserve">opened </w:t>
      </w:r>
      <w:r>
        <w:rPr>
          <w:rFonts w:cstheme="minorHAnsi"/>
          <w:sz w:val="24"/>
          <w:szCs w:val="24"/>
        </w:rPr>
        <w:t>per year: 2016 (</w:t>
      </w:r>
      <w:r w:rsidR="00CA05C9" w:rsidRPr="002D33C5">
        <w:rPr>
          <w:rFonts w:cstheme="minorHAnsi"/>
          <w:sz w:val="24"/>
          <w:szCs w:val="24"/>
        </w:rPr>
        <w:t>39</w:t>
      </w:r>
      <w:r>
        <w:rPr>
          <w:rFonts w:cstheme="minorHAnsi"/>
          <w:sz w:val="24"/>
          <w:szCs w:val="24"/>
        </w:rPr>
        <w:t>), 2017 (</w:t>
      </w:r>
      <w:r w:rsidR="00CA05C9" w:rsidRPr="002D33C5">
        <w:rPr>
          <w:rFonts w:cstheme="minorHAnsi"/>
          <w:sz w:val="24"/>
          <w:szCs w:val="24"/>
        </w:rPr>
        <w:t>32</w:t>
      </w:r>
      <w:r>
        <w:rPr>
          <w:rFonts w:cstheme="minorHAnsi"/>
          <w:sz w:val="24"/>
          <w:szCs w:val="24"/>
        </w:rPr>
        <w:t>)</w:t>
      </w:r>
      <w:r w:rsidR="00CA05C9" w:rsidRPr="002D33C5">
        <w:rPr>
          <w:rFonts w:cstheme="minorHAnsi"/>
          <w:sz w:val="24"/>
          <w:szCs w:val="24"/>
        </w:rPr>
        <w:t>, 201</w:t>
      </w:r>
      <w:r>
        <w:rPr>
          <w:rFonts w:cstheme="minorHAnsi"/>
          <w:sz w:val="24"/>
          <w:szCs w:val="24"/>
        </w:rPr>
        <w:t>8 (</w:t>
      </w:r>
      <w:r w:rsidR="00CA05C9" w:rsidRPr="002D33C5">
        <w:rPr>
          <w:rFonts w:cstheme="minorHAnsi"/>
          <w:sz w:val="24"/>
          <w:szCs w:val="24"/>
        </w:rPr>
        <w:t>58</w:t>
      </w:r>
      <w:r>
        <w:rPr>
          <w:rFonts w:cstheme="minorHAnsi"/>
          <w:sz w:val="24"/>
          <w:szCs w:val="24"/>
        </w:rPr>
        <w:t>), and 2019 (</w:t>
      </w:r>
      <w:r w:rsidR="00CA05C9" w:rsidRPr="002D33C5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>)</w:t>
      </w:r>
      <w:r w:rsidR="00CA05C9" w:rsidRPr="002D33C5">
        <w:rPr>
          <w:rFonts w:cstheme="minorHAnsi"/>
          <w:sz w:val="24"/>
          <w:szCs w:val="24"/>
        </w:rPr>
        <w:t xml:space="preserve">. </w:t>
      </w:r>
    </w:p>
    <w:p w:rsidR="002D33C5" w:rsidRPr="00793D86" w:rsidRDefault="002D33C5" w:rsidP="00793D8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Investigations i</w:t>
      </w:r>
      <w:r w:rsidR="00CA05C9" w:rsidRPr="002D33C5">
        <w:rPr>
          <w:rFonts w:cstheme="minorHAnsi"/>
          <w:sz w:val="24"/>
          <w:szCs w:val="24"/>
        </w:rPr>
        <w:t>nclude new applicants with criminal backgrounds, current EMT and paramedics that violate policy or statute, complaints</w:t>
      </w:r>
      <w:r w:rsidR="00793D86">
        <w:rPr>
          <w:rFonts w:cstheme="minorHAnsi"/>
          <w:sz w:val="24"/>
          <w:szCs w:val="24"/>
        </w:rPr>
        <w:t xml:space="preserve"> by citizens</w:t>
      </w:r>
      <w:r w:rsidR="006B7842">
        <w:rPr>
          <w:rFonts w:cstheme="minorHAnsi"/>
          <w:sz w:val="24"/>
          <w:szCs w:val="24"/>
        </w:rPr>
        <w:t>, and</w:t>
      </w:r>
      <w:r w:rsidR="00CA05C9" w:rsidRPr="002D33C5">
        <w:rPr>
          <w:rFonts w:cstheme="minorHAnsi"/>
          <w:sz w:val="24"/>
          <w:szCs w:val="24"/>
        </w:rPr>
        <w:t xml:space="preserve"> </w:t>
      </w:r>
      <w:r w:rsidR="00793D86">
        <w:rPr>
          <w:rFonts w:cstheme="minorHAnsi"/>
          <w:sz w:val="24"/>
          <w:szCs w:val="24"/>
        </w:rPr>
        <w:t xml:space="preserve">complaints by </w:t>
      </w:r>
      <w:r w:rsidR="00CA05C9" w:rsidRPr="002D33C5">
        <w:rPr>
          <w:rFonts w:cstheme="minorHAnsi"/>
          <w:sz w:val="24"/>
          <w:szCs w:val="24"/>
        </w:rPr>
        <w:t>EMS provider</w:t>
      </w:r>
      <w:r w:rsidR="006B7842">
        <w:rPr>
          <w:rFonts w:cstheme="minorHAnsi"/>
          <w:sz w:val="24"/>
          <w:szCs w:val="24"/>
        </w:rPr>
        <w:t>s</w:t>
      </w:r>
      <w:r w:rsidR="00CA05C9" w:rsidRPr="002D33C5">
        <w:rPr>
          <w:rFonts w:cstheme="minorHAnsi"/>
          <w:sz w:val="24"/>
          <w:szCs w:val="24"/>
        </w:rPr>
        <w:t>.</w:t>
      </w:r>
      <w:r w:rsidR="00536625">
        <w:rPr>
          <w:rFonts w:cstheme="minorHAnsi"/>
          <w:sz w:val="24"/>
          <w:szCs w:val="24"/>
        </w:rPr>
        <w:t xml:space="preserve"> </w:t>
      </w:r>
    </w:p>
    <w:p w:rsidR="00CA05C9" w:rsidRDefault="00CA05C9" w:rsidP="009E2749">
      <w:pPr>
        <w:pStyle w:val="ListParagraph"/>
        <w:numPr>
          <w:ilvl w:val="0"/>
          <w:numId w:val="7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2D33C5">
        <w:rPr>
          <w:rFonts w:cstheme="minorHAnsi"/>
          <w:sz w:val="24"/>
          <w:szCs w:val="24"/>
        </w:rPr>
        <w:t>Completing investigations is a 6-18 month process depending on staff’s time and availability of court documents.</w:t>
      </w:r>
    </w:p>
    <w:p w:rsidR="00793D86" w:rsidRPr="002D33C5" w:rsidRDefault="00864938" w:rsidP="009E2749">
      <w:pPr>
        <w:pStyle w:val="ListParagraph"/>
        <w:numPr>
          <w:ilvl w:val="0"/>
          <w:numId w:val="7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Completing</w:t>
      </w:r>
      <w:r w:rsidR="00793D86">
        <w:rPr>
          <w:rFonts w:cstheme="minorHAnsi"/>
          <w:sz w:val="24"/>
          <w:szCs w:val="24"/>
        </w:rPr>
        <w:t xml:space="preserve"> at a minimal level.  In person interviews are not conducted.</w:t>
      </w:r>
    </w:p>
    <w:p w:rsidR="00A10F23" w:rsidRPr="00A10F23" w:rsidRDefault="00CA05C9" w:rsidP="00A10F23">
      <w:pPr>
        <w:spacing w:line="240" w:lineRule="auto"/>
        <w:jc w:val="both"/>
        <w:rPr>
          <w:rFonts w:cstheme="minorHAnsi"/>
          <w:sz w:val="24"/>
          <w:szCs w:val="24"/>
        </w:rPr>
      </w:pPr>
      <w:r w:rsidRPr="009E2749">
        <w:rPr>
          <w:rFonts w:cstheme="minorHAnsi"/>
          <w:sz w:val="24"/>
          <w:szCs w:val="24"/>
          <w:u w:val="single"/>
        </w:rPr>
        <w:t>Quality Improvement (QI):</w:t>
      </w:r>
      <w:r w:rsidRPr="009E2749">
        <w:rPr>
          <w:rFonts w:cstheme="minorHAnsi"/>
          <w:sz w:val="24"/>
          <w:szCs w:val="24"/>
        </w:rPr>
        <w:t xml:space="preserve"> CCR, Title 22, Division 9, Chapter 12 requires LEMSA to have </w:t>
      </w:r>
      <w:r w:rsidR="009E2749">
        <w:rPr>
          <w:rFonts w:cstheme="minorHAnsi"/>
          <w:sz w:val="24"/>
          <w:szCs w:val="24"/>
        </w:rPr>
        <w:t xml:space="preserve">a </w:t>
      </w:r>
      <w:r w:rsidRPr="009E2749">
        <w:rPr>
          <w:rFonts w:cstheme="minorHAnsi"/>
          <w:sz w:val="24"/>
          <w:szCs w:val="24"/>
        </w:rPr>
        <w:t xml:space="preserve">QI program which includes review of </w:t>
      </w:r>
      <w:r w:rsidR="009E2749">
        <w:rPr>
          <w:rFonts w:cstheme="minorHAnsi"/>
          <w:sz w:val="24"/>
          <w:szCs w:val="24"/>
        </w:rPr>
        <w:t>EMS Provider and Base Hospital</w:t>
      </w:r>
      <w:r w:rsidRPr="009E2749">
        <w:rPr>
          <w:rFonts w:cstheme="minorHAnsi"/>
          <w:sz w:val="24"/>
          <w:szCs w:val="24"/>
        </w:rPr>
        <w:t xml:space="preserve"> QI programs.</w:t>
      </w:r>
    </w:p>
    <w:p w:rsidR="001F1605" w:rsidRPr="001F1605" w:rsidRDefault="009E2749" w:rsidP="001F1605">
      <w:pPr>
        <w:pStyle w:val="ListParagraph"/>
        <w:numPr>
          <w:ilvl w:val="0"/>
          <w:numId w:val="8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9E2749">
        <w:rPr>
          <w:rFonts w:cstheme="minorHAnsi"/>
          <w:sz w:val="24"/>
          <w:szCs w:val="24"/>
        </w:rPr>
        <w:t>C</w:t>
      </w:r>
      <w:r w:rsidR="001F1605">
        <w:rPr>
          <w:rFonts w:cstheme="minorHAnsi"/>
          <w:sz w:val="24"/>
          <w:szCs w:val="24"/>
        </w:rPr>
        <w:t xml:space="preserve">urrently completing </w:t>
      </w:r>
      <w:r w:rsidRPr="009E2749">
        <w:rPr>
          <w:rFonts w:cstheme="minorHAnsi"/>
          <w:sz w:val="24"/>
          <w:szCs w:val="24"/>
        </w:rPr>
        <w:t xml:space="preserve">reports </w:t>
      </w:r>
      <w:r w:rsidR="001F1605">
        <w:rPr>
          <w:rFonts w:cstheme="minorHAnsi"/>
          <w:sz w:val="24"/>
          <w:szCs w:val="24"/>
        </w:rPr>
        <w:t>that give a general overview</w:t>
      </w:r>
      <w:r>
        <w:rPr>
          <w:rFonts w:cstheme="minorHAnsi"/>
          <w:sz w:val="24"/>
          <w:szCs w:val="24"/>
        </w:rPr>
        <w:t xml:space="preserve">.  </w:t>
      </w:r>
      <w:r w:rsidR="001F1605">
        <w:rPr>
          <w:rFonts w:cstheme="minorHAnsi"/>
          <w:sz w:val="24"/>
          <w:szCs w:val="24"/>
        </w:rPr>
        <w:t>Insufficient staff</w:t>
      </w:r>
      <w:r w:rsidR="003A4213">
        <w:rPr>
          <w:rFonts w:cstheme="minorHAnsi"/>
          <w:sz w:val="24"/>
          <w:szCs w:val="24"/>
        </w:rPr>
        <w:t>ing</w:t>
      </w:r>
      <w:r w:rsidR="001F1605">
        <w:rPr>
          <w:rFonts w:cstheme="minorHAnsi"/>
          <w:sz w:val="24"/>
          <w:szCs w:val="24"/>
        </w:rPr>
        <w:t xml:space="preserve"> to produce more granular reports or targeted reports for system improvements.</w:t>
      </w:r>
    </w:p>
    <w:p w:rsidR="00CA05C9" w:rsidRPr="009E2749" w:rsidRDefault="00CA05C9" w:rsidP="009E2749">
      <w:pPr>
        <w:pStyle w:val="ListParagraph"/>
        <w:numPr>
          <w:ilvl w:val="0"/>
          <w:numId w:val="8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9E2749">
        <w:rPr>
          <w:rFonts w:cstheme="minorHAnsi"/>
          <w:sz w:val="24"/>
          <w:szCs w:val="24"/>
        </w:rPr>
        <w:t xml:space="preserve">Staff have insufficient time to meet with providers </w:t>
      </w:r>
      <w:r w:rsidR="004B710A">
        <w:rPr>
          <w:rFonts w:cstheme="minorHAnsi"/>
          <w:sz w:val="24"/>
          <w:szCs w:val="24"/>
        </w:rPr>
        <w:t>to</w:t>
      </w:r>
      <w:r w:rsidRPr="009E2749">
        <w:rPr>
          <w:rFonts w:cstheme="minorHAnsi"/>
          <w:sz w:val="24"/>
          <w:szCs w:val="24"/>
        </w:rPr>
        <w:t xml:space="preserve"> follow through </w:t>
      </w:r>
      <w:r w:rsidR="004B710A">
        <w:rPr>
          <w:rFonts w:cstheme="minorHAnsi"/>
          <w:sz w:val="24"/>
          <w:szCs w:val="24"/>
        </w:rPr>
        <w:t>with</w:t>
      </w:r>
      <w:r w:rsidRPr="009E2749">
        <w:rPr>
          <w:rFonts w:cstheme="minorHAnsi"/>
          <w:sz w:val="24"/>
          <w:szCs w:val="24"/>
        </w:rPr>
        <w:t xml:space="preserve"> </w:t>
      </w:r>
      <w:r w:rsidR="00110EA7">
        <w:rPr>
          <w:rFonts w:cstheme="minorHAnsi"/>
          <w:sz w:val="24"/>
          <w:szCs w:val="24"/>
        </w:rPr>
        <w:t>Q</w:t>
      </w:r>
      <w:r w:rsidR="006B7842">
        <w:rPr>
          <w:rFonts w:cstheme="minorHAnsi"/>
          <w:sz w:val="24"/>
          <w:szCs w:val="24"/>
        </w:rPr>
        <w:t>I</w:t>
      </w:r>
      <w:r w:rsidRPr="009E2749">
        <w:rPr>
          <w:rFonts w:cstheme="minorHAnsi"/>
          <w:sz w:val="24"/>
          <w:szCs w:val="24"/>
        </w:rPr>
        <w:t xml:space="preserve"> initiatives, discuss strengths or deficiencies within each program, or develop strategies to improve deficiencies.</w:t>
      </w:r>
    </w:p>
    <w:p w:rsidR="00CA05C9" w:rsidRPr="00864938" w:rsidRDefault="00820806" w:rsidP="009E2749">
      <w:pPr>
        <w:pStyle w:val="ListParagraph"/>
        <w:numPr>
          <w:ilvl w:val="0"/>
          <w:numId w:val="8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CA05C9" w:rsidRPr="00864938">
        <w:rPr>
          <w:rFonts w:cstheme="minorHAnsi"/>
          <w:sz w:val="24"/>
          <w:szCs w:val="24"/>
        </w:rPr>
        <w:t>ore staff time</w:t>
      </w:r>
      <w:r>
        <w:rPr>
          <w:rFonts w:cstheme="minorHAnsi"/>
          <w:sz w:val="24"/>
          <w:szCs w:val="24"/>
        </w:rPr>
        <w:t xml:space="preserve"> needed</w:t>
      </w:r>
      <w:r w:rsidR="00CA05C9" w:rsidRPr="00864938">
        <w:rPr>
          <w:rFonts w:cstheme="minorHAnsi"/>
          <w:sz w:val="24"/>
          <w:szCs w:val="24"/>
        </w:rPr>
        <w:t xml:space="preserve"> in order to fulfill the agency’s QI program </w:t>
      </w:r>
      <w:r>
        <w:rPr>
          <w:rFonts w:cstheme="minorHAnsi"/>
          <w:sz w:val="24"/>
          <w:szCs w:val="24"/>
        </w:rPr>
        <w:t>elem</w:t>
      </w:r>
      <w:r w:rsidR="00CA05C9" w:rsidRPr="00864938">
        <w:rPr>
          <w:rFonts w:cstheme="minorHAnsi"/>
          <w:sz w:val="24"/>
          <w:szCs w:val="24"/>
        </w:rPr>
        <w:t>ents.</w:t>
      </w:r>
    </w:p>
    <w:p w:rsidR="00827E69" w:rsidRPr="00864938" w:rsidRDefault="00827E69" w:rsidP="009E2749">
      <w:pPr>
        <w:pStyle w:val="ListParagraph"/>
        <w:numPr>
          <w:ilvl w:val="0"/>
          <w:numId w:val="8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864938">
        <w:rPr>
          <w:rFonts w:cstheme="minorHAnsi"/>
          <w:sz w:val="24"/>
          <w:szCs w:val="24"/>
        </w:rPr>
        <w:t>Stak</w:t>
      </w:r>
      <w:r w:rsidR="00864938">
        <w:rPr>
          <w:rFonts w:cstheme="minorHAnsi"/>
          <w:sz w:val="24"/>
          <w:szCs w:val="24"/>
        </w:rPr>
        <w:t>eholders are requesting more QI</w:t>
      </w:r>
      <w:r w:rsidRPr="00864938">
        <w:rPr>
          <w:rFonts w:cstheme="minorHAnsi"/>
          <w:sz w:val="24"/>
          <w:szCs w:val="24"/>
        </w:rPr>
        <w:t xml:space="preserve"> data and reports.</w:t>
      </w:r>
    </w:p>
    <w:p w:rsidR="00630F90" w:rsidRPr="00FC7F37" w:rsidRDefault="00630F90" w:rsidP="009E2749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 w:rsidRPr="00630F90">
        <w:rPr>
          <w:rFonts w:cstheme="minorHAnsi"/>
          <w:sz w:val="24"/>
          <w:szCs w:val="24"/>
          <w:u w:val="single"/>
        </w:rPr>
        <w:lastRenderedPageBreak/>
        <w:t>Stakeholder Requested Programs</w:t>
      </w:r>
      <w:r w:rsidRPr="009E2749">
        <w:rPr>
          <w:rFonts w:cstheme="minorHAnsi"/>
          <w:sz w:val="24"/>
          <w:szCs w:val="24"/>
        </w:rPr>
        <w:t>:</w:t>
      </w:r>
      <w:r w:rsidR="009E2749">
        <w:rPr>
          <w:rFonts w:cstheme="minorHAnsi"/>
          <w:sz w:val="24"/>
          <w:szCs w:val="24"/>
        </w:rPr>
        <w:t xml:space="preserve"> </w:t>
      </w:r>
      <w:r w:rsidR="009E2749" w:rsidRPr="00FC7F37">
        <w:rPr>
          <w:rFonts w:cstheme="minorHAnsi"/>
          <w:b/>
          <w:sz w:val="24"/>
          <w:szCs w:val="24"/>
          <w:highlight w:val="lightGray"/>
        </w:rPr>
        <w:t>Permissive</w:t>
      </w:r>
    </w:p>
    <w:p w:rsidR="00CA05C9" w:rsidRPr="009E2749" w:rsidRDefault="00CA05C9" w:rsidP="000B294E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E2749">
        <w:rPr>
          <w:rFonts w:cstheme="minorHAnsi"/>
          <w:sz w:val="24"/>
          <w:szCs w:val="24"/>
          <w:u w:val="single"/>
        </w:rPr>
        <w:t>Critical Care Paramedics (CCP):</w:t>
      </w:r>
      <w:r w:rsidRPr="009E2749">
        <w:rPr>
          <w:rFonts w:cstheme="minorHAnsi"/>
          <w:sz w:val="24"/>
          <w:szCs w:val="24"/>
        </w:rPr>
        <w:t xml:space="preserve"> </w:t>
      </w:r>
      <w:r w:rsidR="00630F90" w:rsidRPr="009E2749">
        <w:rPr>
          <w:rFonts w:cstheme="minorHAnsi"/>
          <w:sz w:val="24"/>
          <w:szCs w:val="24"/>
        </w:rPr>
        <w:t xml:space="preserve"> </w:t>
      </w:r>
      <w:r w:rsidR="009E2749">
        <w:rPr>
          <w:rFonts w:cstheme="minorHAnsi"/>
          <w:sz w:val="24"/>
          <w:szCs w:val="24"/>
        </w:rPr>
        <w:t>This program allows an expa</w:t>
      </w:r>
      <w:r w:rsidRPr="009E2749">
        <w:rPr>
          <w:rFonts w:cstheme="minorHAnsi"/>
          <w:sz w:val="24"/>
          <w:szCs w:val="24"/>
        </w:rPr>
        <w:t>nded scope of practice for paramedics in order to transport more critical patient</w:t>
      </w:r>
      <w:r w:rsidR="009E2749">
        <w:rPr>
          <w:rFonts w:cstheme="minorHAnsi"/>
          <w:sz w:val="24"/>
          <w:szCs w:val="24"/>
        </w:rPr>
        <w:t>s</w:t>
      </w:r>
      <w:r w:rsidRPr="009E2749">
        <w:rPr>
          <w:rFonts w:cstheme="minorHAnsi"/>
          <w:sz w:val="24"/>
          <w:szCs w:val="24"/>
        </w:rPr>
        <w:t xml:space="preserve"> between facilities. It requires additional hours of training and an advance paramedic certification.</w:t>
      </w:r>
    </w:p>
    <w:p w:rsidR="00CA05C9" w:rsidRPr="00630F90" w:rsidRDefault="00630F90" w:rsidP="009E2749">
      <w:pPr>
        <w:pStyle w:val="ListParagraph"/>
        <w:numPr>
          <w:ilvl w:val="0"/>
          <w:numId w:val="13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630F90">
        <w:rPr>
          <w:rFonts w:cstheme="minorHAnsi"/>
          <w:sz w:val="24"/>
          <w:szCs w:val="24"/>
        </w:rPr>
        <w:t>Oversight and written protocols/policies</w:t>
      </w:r>
      <w:r w:rsidR="00CA05C9" w:rsidRPr="00630F90">
        <w:rPr>
          <w:rFonts w:cstheme="minorHAnsi"/>
          <w:sz w:val="24"/>
          <w:szCs w:val="24"/>
        </w:rPr>
        <w:t>.</w:t>
      </w:r>
    </w:p>
    <w:p w:rsidR="00CA05C9" w:rsidRPr="00630F90" w:rsidRDefault="00CA05C9" w:rsidP="009E2749">
      <w:pPr>
        <w:pStyle w:val="ListParagraph"/>
        <w:numPr>
          <w:ilvl w:val="0"/>
          <w:numId w:val="13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630F90">
        <w:rPr>
          <w:rFonts w:cstheme="minorHAnsi"/>
          <w:sz w:val="24"/>
          <w:szCs w:val="24"/>
        </w:rPr>
        <w:t>Develop required course content.</w:t>
      </w:r>
    </w:p>
    <w:p w:rsidR="00CA05C9" w:rsidRPr="00630F90" w:rsidRDefault="009E2749" w:rsidP="009E2749">
      <w:pPr>
        <w:pStyle w:val="ListParagraph"/>
        <w:numPr>
          <w:ilvl w:val="0"/>
          <w:numId w:val="13"/>
        </w:numPr>
        <w:spacing w:line="24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Meets defined e</w:t>
      </w:r>
      <w:r w:rsidR="00CA05C9" w:rsidRPr="00630F90">
        <w:rPr>
          <w:rFonts w:cstheme="minorHAnsi"/>
          <w:sz w:val="24"/>
          <w:szCs w:val="24"/>
        </w:rPr>
        <w:t>ligibility requirements</w:t>
      </w:r>
      <w:r>
        <w:rPr>
          <w:rFonts w:cstheme="minorHAnsi"/>
          <w:sz w:val="24"/>
          <w:szCs w:val="24"/>
        </w:rPr>
        <w:t xml:space="preserve"> including national testing requirements.</w:t>
      </w:r>
    </w:p>
    <w:p w:rsidR="00CA05C9" w:rsidRDefault="009E2749" w:rsidP="009E2749">
      <w:pPr>
        <w:pStyle w:val="ListParagraph"/>
        <w:numPr>
          <w:ilvl w:val="0"/>
          <w:numId w:val="13"/>
        </w:numPr>
        <w:spacing w:line="240" w:lineRule="auto"/>
        <w:ind w:left="108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Tracking and monitoring.  </w:t>
      </w:r>
    </w:p>
    <w:p w:rsidR="0040555A" w:rsidRPr="009E2749" w:rsidRDefault="00630F90" w:rsidP="000B294E">
      <w:pPr>
        <w:spacing w:after="6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E2749">
        <w:rPr>
          <w:rFonts w:cstheme="minorHAnsi"/>
          <w:sz w:val="24"/>
          <w:szCs w:val="24"/>
          <w:u w:val="single"/>
        </w:rPr>
        <w:t>EMS for Children</w:t>
      </w:r>
      <w:r w:rsidR="009E2749">
        <w:rPr>
          <w:rFonts w:cstheme="minorHAnsi"/>
          <w:sz w:val="24"/>
          <w:szCs w:val="24"/>
        </w:rPr>
        <w:t xml:space="preserve">: </w:t>
      </w:r>
      <w:r w:rsidR="00D85E42" w:rsidRPr="009E2749">
        <w:rPr>
          <w:rFonts w:cstheme="minorHAnsi"/>
          <w:sz w:val="24"/>
          <w:szCs w:val="24"/>
        </w:rPr>
        <w:t>CA Health and Safety Code, Division 2.5, Chapter 12.</w:t>
      </w:r>
      <w:r w:rsidR="0040555A" w:rsidRPr="009E2749">
        <w:rPr>
          <w:rFonts w:cstheme="minorHAnsi"/>
          <w:sz w:val="24"/>
          <w:szCs w:val="24"/>
        </w:rPr>
        <w:t xml:space="preserve">  </w:t>
      </w:r>
      <w:r w:rsidR="0040555A" w:rsidRPr="009E2749">
        <w:rPr>
          <w:rFonts w:eastAsia="Times New Roman" w:cstheme="minorHAnsi"/>
          <w:sz w:val="24"/>
          <w:szCs w:val="24"/>
        </w:rPr>
        <w:t>The EMS for Children (EMSC) program is a national initiative that creates guidelines for the hospital and prehospital communities to effectively care of children during emergencies.</w:t>
      </w:r>
    </w:p>
    <w:p w:rsidR="00F010E5" w:rsidRPr="00F010E5" w:rsidRDefault="00F010E5" w:rsidP="009E2749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Develop and oversee</w:t>
      </w:r>
      <w:r w:rsidRPr="00F010E5">
        <w:rPr>
          <w:rFonts w:eastAsia="Times New Roman" w:cstheme="minorHAnsi"/>
          <w:sz w:val="24"/>
          <w:szCs w:val="24"/>
        </w:rPr>
        <w:t xml:space="preserve"> the initial program </w:t>
      </w:r>
      <w:r w:rsidR="009E2749">
        <w:rPr>
          <w:rFonts w:eastAsia="Times New Roman" w:cstheme="minorHAnsi"/>
          <w:sz w:val="24"/>
          <w:szCs w:val="24"/>
        </w:rPr>
        <w:t>with stakeholder</w:t>
      </w:r>
      <w:r w:rsidRPr="00F010E5">
        <w:rPr>
          <w:rFonts w:eastAsia="Times New Roman" w:cstheme="minorHAnsi"/>
          <w:sz w:val="24"/>
          <w:szCs w:val="24"/>
        </w:rPr>
        <w:t xml:space="preserve"> input, </w:t>
      </w:r>
      <w:r w:rsidR="009E2749">
        <w:rPr>
          <w:rFonts w:eastAsia="Times New Roman" w:cstheme="minorHAnsi"/>
          <w:sz w:val="24"/>
          <w:szCs w:val="24"/>
        </w:rPr>
        <w:t>including written program p</w:t>
      </w:r>
      <w:r w:rsidRPr="00F010E5">
        <w:rPr>
          <w:rFonts w:eastAsia="Times New Roman" w:cstheme="minorHAnsi"/>
          <w:sz w:val="24"/>
          <w:szCs w:val="24"/>
        </w:rPr>
        <w:t>lan, policies, and protocols</w:t>
      </w:r>
      <w:r>
        <w:rPr>
          <w:rFonts w:eastAsia="Times New Roman" w:cstheme="minorHAnsi"/>
          <w:sz w:val="24"/>
          <w:szCs w:val="24"/>
        </w:rPr>
        <w:t>.</w:t>
      </w:r>
    </w:p>
    <w:p w:rsidR="00F010E5" w:rsidRPr="00F010E5" w:rsidRDefault="009E2749" w:rsidP="009E2749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Submission of the program plan </w:t>
      </w:r>
      <w:r w:rsidR="00F010E5" w:rsidRPr="00F010E5">
        <w:rPr>
          <w:rFonts w:eastAsia="Times New Roman" w:cstheme="minorHAnsi"/>
          <w:sz w:val="24"/>
          <w:szCs w:val="24"/>
        </w:rPr>
        <w:t xml:space="preserve">to </w:t>
      </w:r>
      <w:r>
        <w:rPr>
          <w:rFonts w:eastAsia="Times New Roman" w:cstheme="minorHAnsi"/>
          <w:sz w:val="24"/>
          <w:szCs w:val="24"/>
        </w:rPr>
        <w:t>State</w:t>
      </w:r>
      <w:r w:rsidR="00F010E5" w:rsidRPr="00F010E5">
        <w:rPr>
          <w:rFonts w:eastAsia="Times New Roman" w:cstheme="minorHAnsi"/>
          <w:sz w:val="24"/>
          <w:szCs w:val="24"/>
        </w:rPr>
        <w:t xml:space="preserve"> EMS Authority for approval</w:t>
      </w:r>
      <w:r w:rsidR="00F010E5">
        <w:rPr>
          <w:rFonts w:eastAsia="Times New Roman" w:cstheme="minorHAnsi"/>
          <w:sz w:val="24"/>
          <w:szCs w:val="24"/>
        </w:rPr>
        <w:t>.</w:t>
      </w:r>
    </w:p>
    <w:p w:rsidR="009E2749" w:rsidRDefault="00F010E5" w:rsidP="009E2749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9E2749">
        <w:rPr>
          <w:rFonts w:eastAsia="Times New Roman" w:cstheme="minorHAnsi"/>
          <w:sz w:val="24"/>
          <w:szCs w:val="24"/>
        </w:rPr>
        <w:t xml:space="preserve">Establish an </w:t>
      </w:r>
      <w:r w:rsidR="009E2749" w:rsidRPr="009E2749">
        <w:rPr>
          <w:rFonts w:eastAsia="Times New Roman" w:cstheme="minorHAnsi"/>
          <w:sz w:val="24"/>
          <w:szCs w:val="24"/>
        </w:rPr>
        <w:t>advisory c</w:t>
      </w:r>
      <w:r w:rsidRPr="009E2749">
        <w:rPr>
          <w:rFonts w:eastAsia="Times New Roman" w:cstheme="minorHAnsi"/>
          <w:sz w:val="24"/>
          <w:szCs w:val="24"/>
        </w:rPr>
        <w:t>ommittee of mu</w:t>
      </w:r>
      <w:r w:rsidR="009E2749">
        <w:rPr>
          <w:rFonts w:eastAsia="Times New Roman" w:cstheme="minorHAnsi"/>
          <w:sz w:val="24"/>
          <w:szCs w:val="24"/>
        </w:rPr>
        <w:t>ltidisciplinary representatives with regular meetings.</w:t>
      </w:r>
    </w:p>
    <w:p w:rsidR="00F010E5" w:rsidRPr="00F010E5" w:rsidRDefault="00F010E5" w:rsidP="009E2749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F010E5">
        <w:rPr>
          <w:rFonts w:eastAsia="Times New Roman" w:cstheme="minorHAnsi"/>
          <w:sz w:val="24"/>
          <w:szCs w:val="24"/>
        </w:rPr>
        <w:t>Work with hospitals that are not pediatric centers to meet required standards of pediatric care</w:t>
      </w:r>
      <w:r>
        <w:rPr>
          <w:rFonts w:eastAsia="Times New Roman" w:cstheme="minorHAnsi"/>
          <w:sz w:val="24"/>
          <w:szCs w:val="24"/>
        </w:rPr>
        <w:t>.</w:t>
      </w:r>
    </w:p>
    <w:p w:rsidR="00F010E5" w:rsidRPr="00F010E5" w:rsidRDefault="009E2749" w:rsidP="009E2749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F010E5" w:rsidRPr="00F010E5">
        <w:rPr>
          <w:rFonts w:eastAsia="Times New Roman" w:cstheme="minorHAnsi"/>
          <w:sz w:val="24"/>
          <w:szCs w:val="24"/>
        </w:rPr>
        <w:t>versight of prehospital standard</w:t>
      </w:r>
      <w:r w:rsidR="00F010E5">
        <w:rPr>
          <w:rFonts w:eastAsia="Times New Roman" w:cstheme="minorHAnsi"/>
          <w:sz w:val="24"/>
          <w:szCs w:val="24"/>
        </w:rPr>
        <w:t>s</w:t>
      </w:r>
      <w:r w:rsidR="00F010E5" w:rsidRPr="00F010E5">
        <w:rPr>
          <w:rFonts w:eastAsia="Times New Roman" w:cstheme="minorHAnsi"/>
          <w:sz w:val="24"/>
          <w:szCs w:val="24"/>
        </w:rPr>
        <w:t xml:space="preserve"> of care protocols</w:t>
      </w:r>
      <w:r w:rsidR="00F010E5">
        <w:rPr>
          <w:rFonts w:eastAsia="Times New Roman" w:cstheme="minorHAnsi"/>
          <w:sz w:val="24"/>
          <w:szCs w:val="24"/>
        </w:rPr>
        <w:t>.</w:t>
      </w:r>
    </w:p>
    <w:p w:rsidR="00CA05C9" w:rsidRPr="00182F90" w:rsidRDefault="00472539" w:rsidP="00182F90">
      <w:pPr>
        <w:spacing w:before="240"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Current Staffing</w:t>
      </w:r>
      <w:r w:rsidR="00CA05C9" w:rsidRPr="00D020F7">
        <w:rPr>
          <w:rFonts w:cstheme="minorHAnsi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182F90" w:rsidRPr="0040555A" w:rsidTr="00182F90">
        <w:tc>
          <w:tcPr>
            <w:tcW w:w="7015" w:type="dxa"/>
            <w:shd w:val="clear" w:color="auto" w:fill="DEEAF6" w:themeFill="accent1" w:themeFillTint="33"/>
          </w:tcPr>
          <w:p w:rsidR="00182F90" w:rsidRDefault="00182F90" w:rsidP="00182F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Staff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182F90" w:rsidRPr="0040555A" w:rsidRDefault="00182F90" w:rsidP="00B81C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FTE</w:t>
            </w:r>
          </w:p>
        </w:tc>
      </w:tr>
      <w:tr w:rsidR="00182F90" w:rsidTr="00182F90">
        <w:tc>
          <w:tcPr>
            <w:tcW w:w="7015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Director (contracted)</w:t>
            </w:r>
          </w:p>
        </w:tc>
        <w:tc>
          <w:tcPr>
            <w:tcW w:w="2340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.5</w:t>
            </w:r>
          </w:p>
        </w:tc>
      </w:tr>
      <w:tr w:rsidR="00182F90" w:rsidTr="00182F90">
        <w:tc>
          <w:tcPr>
            <w:tcW w:w="7015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Administrator</w:t>
            </w:r>
          </w:p>
        </w:tc>
        <w:tc>
          <w:tcPr>
            <w:tcW w:w="2340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182F90" w:rsidTr="00182F90">
        <w:tc>
          <w:tcPr>
            <w:tcW w:w="7015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Coordinator</w:t>
            </w:r>
          </w:p>
        </w:tc>
        <w:tc>
          <w:tcPr>
            <w:tcW w:w="2340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182F90" w:rsidTr="00182F90">
        <w:tc>
          <w:tcPr>
            <w:tcW w:w="7015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Specialist</w:t>
            </w:r>
          </w:p>
        </w:tc>
        <w:tc>
          <w:tcPr>
            <w:tcW w:w="2340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</w:t>
            </w:r>
          </w:p>
        </w:tc>
      </w:tr>
      <w:tr w:rsidR="00182F90" w:rsidTr="00182F90">
        <w:tc>
          <w:tcPr>
            <w:tcW w:w="7015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Administrative Support</w:t>
            </w:r>
          </w:p>
        </w:tc>
        <w:tc>
          <w:tcPr>
            <w:tcW w:w="2340" w:type="dxa"/>
          </w:tcPr>
          <w:p w:rsidR="00182F90" w:rsidRDefault="00182F90" w:rsidP="00B81C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</w:t>
            </w:r>
          </w:p>
        </w:tc>
      </w:tr>
      <w:tr w:rsidR="00182F90" w:rsidTr="00182F90">
        <w:tc>
          <w:tcPr>
            <w:tcW w:w="7015" w:type="dxa"/>
          </w:tcPr>
          <w:p w:rsidR="00182F90" w:rsidRPr="00182F90" w:rsidRDefault="00182F90" w:rsidP="00B81C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182F90" w:rsidRPr="00182F90" w:rsidRDefault="00182F90" w:rsidP="00B81C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7.5</w:t>
            </w:r>
          </w:p>
        </w:tc>
      </w:tr>
    </w:tbl>
    <w:p w:rsidR="0040555A" w:rsidRPr="00CA05C9" w:rsidRDefault="0040555A" w:rsidP="00CA05C9">
      <w:pPr>
        <w:spacing w:line="240" w:lineRule="auto"/>
        <w:rPr>
          <w:rFonts w:cstheme="minorHAnsi"/>
          <w:sz w:val="24"/>
          <w:szCs w:val="24"/>
        </w:rPr>
      </w:pPr>
    </w:p>
    <w:p w:rsidR="00CA05C9" w:rsidRPr="009E2749" w:rsidRDefault="00277B50" w:rsidP="009E2749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Additional </w:t>
      </w:r>
      <w:r w:rsidR="00093A8D">
        <w:rPr>
          <w:rFonts w:cstheme="minorHAnsi"/>
          <w:sz w:val="24"/>
          <w:szCs w:val="24"/>
          <w:u w:val="single"/>
        </w:rPr>
        <w:t xml:space="preserve">Staffing Needed for </w:t>
      </w:r>
      <w:r>
        <w:rPr>
          <w:rFonts w:cstheme="minorHAnsi"/>
          <w:sz w:val="24"/>
          <w:szCs w:val="24"/>
          <w:u w:val="single"/>
        </w:rPr>
        <w:t>Mandatory &amp; Permissive</w:t>
      </w:r>
      <w:r w:rsidR="0040555A" w:rsidRPr="00D020F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Program</w:t>
      </w:r>
      <w:r w:rsidR="0040555A" w:rsidRPr="00D020F7">
        <w:rPr>
          <w:rFonts w:cstheme="minorHAnsi"/>
          <w:sz w:val="24"/>
          <w:szCs w:val="24"/>
          <w:u w:val="single"/>
        </w:rPr>
        <w:t>s</w:t>
      </w:r>
      <w:r w:rsidR="00CA05C9" w:rsidRPr="009E2749">
        <w:rPr>
          <w:rFonts w:cstheme="minorHAnsi"/>
          <w:sz w:val="24"/>
          <w:szCs w:val="24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40"/>
        <w:gridCol w:w="2430"/>
        <w:gridCol w:w="2250"/>
        <w:gridCol w:w="2340"/>
      </w:tblGrid>
      <w:tr w:rsidR="00277B50" w:rsidRPr="0040555A" w:rsidTr="00182F90">
        <w:tc>
          <w:tcPr>
            <w:tcW w:w="2340" w:type="dxa"/>
            <w:shd w:val="clear" w:color="auto" w:fill="DEEAF6" w:themeFill="accent1" w:themeFillTint="33"/>
          </w:tcPr>
          <w:p w:rsidR="00277B50" w:rsidRPr="0040555A" w:rsidRDefault="00277B50" w:rsidP="00277B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277B50" w:rsidRPr="0040555A" w:rsidRDefault="00277B50" w:rsidP="00277B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555A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277B50" w:rsidRPr="0040555A" w:rsidRDefault="00277B50" w:rsidP="00277B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555A">
              <w:rPr>
                <w:rFonts w:cstheme="minorHAnsi"/>
                <w:b/>
                <w:sz w:val="24"/>
                <w:szCs w:val="24"/>
              </w:rPr>
              <w:t>FTE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277B50" w:rsidRPr="0040555A" w:rsidRDefault="00277B50" w:rsidP="00277B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FY 2019-20 Cost</w:t>
            </w:r>
          </w:p>
        </w:tc>
      </w:tr>
      <w:tr w:rsidR="00472539" w:rsidTr="00182F90">
        <w:tc>
          <w:tcPr>
            <w:tcW w:w="234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QI</w:t>
            </w:r>
          </w:p>
        </w:tc>
        <w:tc>
          <w:tcPr>
            <w:tcW w:w="2430" w:type="dxa"/>
          </w:tcPr>
          <w:p w:rsidR="00472539" w:rsidRDefault="00472539" w:rsidP="00182F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Director</w:t>
            </w:r>
          </w:p>
        </w:tc>
        <w:tc>
          <w:tcPr>
            <w:tcW w:w="225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0.3</w:t>
            </w:r>
          </w:p>
        </w:tc>
        <w:tc>
          <w:tcPr>
            <w:tcW w:w="234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$ 72,000*</w:t>
            </w:r>
          </w:p>
        </w:tc>
      </w:tr>
      <w:tr w:rsidR="00472539" w:rsidTr="00182F90">
        <w:tc>
          <w:tcPr>
            <w:tcW w:w="234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Hospital Programs</w:t>
            </w:r>
          </w:p>
        </w:tc>
        <w:tc>
          <w:tcPr>
            <w:tcW w:w="2430" w:type="dxa"/>
          </w:tcPr>
          <w:p w:rsidR="00472539" w:rsidRDefault="00472539" w:rsidP="00182F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Coordinator</w:t>
            </w:r>
          </w:p>
        </w:tc>
        <w:tc>
          <w:tcPr>
            <w:tcW w:w="225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2340" w:type="dxa"/>
          </w:tcPr>
          <w:p w:rsidR="00472539" w:rsidRDefault="00BA334E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$ 167,258</w:t>
            </w:r>
          </w:p>
        </w:tc>
      </w:tr>
      <w:tr w:rsidR="00472539" w:rsidTr="00182F90">
        <w:tc>
          <w:tcPr>
            <w:tcW w:w="234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Investigations</w:t>
            </w:r>
          </w:p>
        </w:tc>
        <w:tc>
          <w:tcPr>
            <w:tcW w:w="2430" w:type="dxa"/>
          </w:tcPr>
          <w:p w:rsidR="00472539" w:rsidRDefault="00472539" w:rsidP="00182F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Specialist II</w:t>
            </w:r>
          </w:p>
        </w:tc>
        <w:tc>
          <w:tcPr>
            <w:tcW w:w="225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2340" w:type="dxa"/>
          </w:tcPr>
          <w:p w:rsidR="00472539" w:rsidRDefault="00BA334E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$ 139,110</w:t>
            </w:r>
          </w:p>
        </w:tc>
      </w:tr>
      <w:tr w:rsidR="00472539" w:rsidTr="00182F90">
        <w:tc>
          <w:tcPr>
            <w:tcW w:w="234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QI</w:t>
            </w:r>
          </w:p>
        </w:tc>
        <w:tc>
          <w:tcPr>
            <w:tcW w:w="2430" w:type="dxa"/>
          </w:tcPr>
          <w:p w:rsidR="00472539" w:rsidRDefault="00472539" w:rsidP="00182F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EMS Specialist II</w:t>
            </w:r>
          </w:p>
        </w:tc>
        <w:tc>
          <w:tcPr>
            <w:tcW w:w="2250" w:type="dxa"/>
          </w:tcPr>
          <w:p w:rsidR="00472539" w:rsidRDefault="00472539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0.5 – 1.0</w:t>
            </w:r>
          </w:p>
        </w:tc>
        <w:tc>
          <w:tcPr>
            <w:tcW w:w="2340" w:type="dxa"/>
          </w:tcPr>
          <w:p w:rsidR="00472539" w:rsidRDefault="00BA334E" w:rsidP="004725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$ 139,110</w:t>
            </w:r>
          </w:p>
        </w:tc>
      </w:tr>
    </w:tbl>
    <w:p w:rsidR="00342B15" w:rsidRPr="00CA05C9" w:rsidRDefault="0040555A" w:rsidP="00CA05C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655463">
        <w:rPr>
          <w:rFonts w:cstheme="minorHAnsi"/>
          <w:sz w:val="24"/>
          <w:szCs w:val="24"/>
        </w:rPr>
        <w:t xml:space="preserve">Cost </w:t>
      </w:r>
      <w:r w:rsidR="00182F90">
        <w:rPr>
          <w:rFonts w:cstheme="minorHAnsi"/>
          <w:sz w:val="24"/>
          <w:szCs w:val="24"/>
        </w:rPr>
        <w:t xml:space="preserve">is </w:t>
      </w:r>
      <w:r w:rsidR="00CD7FF4">
        <w:rPr>
          <w:rFonts w:cstheme="minorHAnsi"/>
          <w:sz w:val="24"/>
          <w:szCs w:val="24"/>
        </w:rPr>
        <w:t>a</w:t>
      </w:r>
      <w:r w:rsidR="00182F90">
        <w:rPr>
          <w:rFonts w:cstheme="minorHAnsi"/>
          <w:sz w:val="24"/>
          <w:szCs w:val="24"/>
        </w:rPr>
        <w:t xml:space="preserve"> net increase </w:t>
      </w:r>
      <w:r w:rsidR="00CD7FF4">
        <w:rPr>
          <w:rFonts w:cstheme="minorHAnsi"/>
          <w:sz w:val="24"/>
          <w:szCs w:val="24"/>
        </w:rPr>
        <w:t>based on a change from 0.5 to 0.8 FTE.</w:t>
      </w:r>
    </w:p>
    <w:sectPr w:rsidR="00342B15" w:rsidRPr="00CA05C9" w:rsidSect="00D020F7">
      <w:footerReference w:type="default" r:id="rId7"/>
      <w:pgSz w:w="12240" w:h="15840"/>
      <w:pgMar w:top="1296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49" w:rsidRDefault="009E2749" w:rsidP="009E2749">
      <w:pPr>
        <w:spacing w:after="0" w:line="240" w:lineRule="auto"/>
      </w:pPr>
      <w:r>
        <w:separator/>
      </w:r>
    </w:p>
  </w:endnote>
  <w:endnote w:type="continuationSeparator" w:id="0">
    <w:p w:rsidR="009E2749" w:rsidRDefault="009E2749" w:rsidP="009E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643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749" w:rsidRDefault="009E2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749" w:rsidRDefault="009E2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49" w:rsidRDefault="009E2749" w:rsidP="009E2749">
      <w:pPr>
        <w:spacing w:after="0" w:line="240" w:lineRule="auto"/>
      </w:pPr>
      <w:r>
        <w:separator/>
      </w:r>
    </w:p>
  </w:footnote>
  <w:footnote w:type="continuationSeparator" w:id="0">
    <w:p w:rsidR="009E2749" w:rsidRDefault="009E2749" w:rsidP="009E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DE9"/>
    <w:multiLevelType w:val="hybridMultilevel"/>
    <w:tmpl w:val="BE08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A1A"/>
    <w:multiLevelType w:val="hybridMultilevel"/>
    <w:tmpl w:val="60CC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4F3"/>
    <w:multiLevelType w:val="hybridMultilevel"/>
    <w:tmpl w:val="19B8E9AE"/>
    <w:lvl w:ilvl="0" w:tplc="B1F241F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5E4"/>
    <w:multiLevelType w:val="hybridMultilevel"/>
    <w:tmpl w:val="35BCB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0E6D"/>
    <w:multiLevelType w:val="hybridMultilevel"/>
    <w:tmpl w:val="3B7448C8"/>
    <w:lvl w:ilvl="0" w:tplc="B1F241F4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20E20"/>
    <w:multiLevelType w:val="hybridMultilevel"/>
    <w:tmpl w:val="CB32C68E"/>
    <w:lvl w:ilvl="0" w:tplc="B1F241F4">
      <w:start w:val="4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3937C1"/>
    <w:multiLevelType w:val="hybridMultilevel"/>
    <w:tmpl w:val="81B0E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82E9A"/>
    <w:multiLevelType w:val="hybridMultilevel"/>
    <w:tmpl w:val="FD9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17142"/>
    <w:multiLevelType w:val="hybridMultilevel"/>
    <w:tmpl w:val="7674B94A"/>
    <w:lvl w:ilvl="0" w:tplc="B1F241F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DDFEE99A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B74A9"/>
    <w:multiLevelType w:val="hybridMultilevel"/>
    <w:tmpl w:val="51745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620C2"/>
    <w:multiLevelType w:val="hybridMultilevel"/>
    <w:tmpl w:val="D5442816"/>
    <w:lvl w:ilvl="0" w:tplc="B1F241F4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855FC"/>
    <w:multiLevelType w:val="hybridMultilevel"/>
    <w:tmpl w:val="F7F62E28"/>
    <w:lvl w:ilvl="0" w:tplc="B1F241F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38FF6A">
      <w:start w:val="4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5615E"/>
    <w:multiLevelType w:val="hybridMultilevel"/>
    <w:tmpl w:val="9950F9C2"/>
    <w:lvl w:ilvl="0" w:tplc="B1F241F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72571"/>
    <w:multiLevelType w:val="hybridMultilevel"/>
    <w:tmpl w:val="4E7435EC"/>
    <w:lvl w:ilvl="0" w:tplc="B1F241F4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F652FC"/>
    <w:multiLevelType w:val="hybridMultilevel"/>
    <w:tmpl w:val="B8DECA2A"/>
    <w:lvl w:ilvl="0" w:tplc="B1F241F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87AAB"/>
    <w:multiLevelType w:val="hybridMultilevel"/>
    <w:tmpl w:val="6E1A6FEA"/>
    <w:lvl w:ilvl="0" w:tplc="B1F241F4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C9"/>
    <w:rsid w:val="00033E5B"/>
    <w:rsid w:val="00087D58"/>
    <w:rsid w:val="00093A8D"/>
    <w:rsid w:val="000B294E"/>
    <w:rsid w:val="00110EA7"/>
    <w:rsid w:val="00113ECB"/>
    <w:rsid w:val="00182F90"/>
    <w:rsid w:val="0018629F"/>
    <w:rsid w:val="001F1605"/>
    <w:rsid w:val="00231EEB"/>
    <w:rsid w:val="002723E1"/>
    <w:rsid w:val="00277B50"/>
    <w:rsid w:val="002B7E66"/>
    <w:rsid w:val="002C5B95"/>
    <w:rsid w:val="002D33C5"/>
    <w:rsid w:val="00342B15"/>
    <w:rsid w:val="003438AB"/>
    <w:rsid w:val="00384992"/>
    <w:rsid w:val="003A4213"/>
    <w:rsid w:val="003F19E0"/>
    <w:rsid w:val="0040555A"/>
    <w:rsid w:val="00472539"/>
    <w:rsid w:val="004B710A"/>
    <w:rsid w:val="00536625"/>
    <w:rsid w:val="00603428"/>
    <w:rsid w:val="00630F90"/>
    <w:rsid w:val="00655463"/>
    <w:rsid w:val="006B7842"/>
    <w:rsid w:val="0070702E"/>
    <w:rsid w:val="00793D86"/>
    <w:rsid w:val="00820806"/>
    <w:rsid w:val="00827E69"/>
    <w:rsid w:val="00864938"/>
    <w:rsid w:val="00874545"/>
    <w:rsid w:val="009E2749"/>
    <w:rsid w:val="009E4CA1"/>
    <w:rsid w:val="00A10F23"/>
    <w:rsid w:val="00AD682C"/>
    <w:rsid w:val="00B63905"/>
    <w:rsid w:val="00BA334E"/>
    <w:rsid w:val="00CA05C9"/>
    <w:rsid w:val="00CC605D"/>
    <w:rsid w:val="00CD7FF4"/>
    <w:rsid w:val="00D020F7"/>
    <w:rsid w:val="00D45D81"/>
    <w:rsid w:val="00D85E42"/>
    <w:rsid w:val="00E215FF"/>
    <w:rsid w:val="00ED3028"/>
    <w:rsid w:val="00F010E5"/>
    <w:rsid w:val="00F75431"/>
    <w:rsid w:val="00FA002B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4B64"/>
  <w15:chartTrackingRefBased/>
  <w15:docId w15:val="{C8A819C4-64AA-49E0-A85E-BEB5AA6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C9"/>
    <w:pPr>
      <w:ind w:left="720"/>
      <w:contextualSpacing/>
    </w:pPr>
  </w:style>
  <w:style w:type="table" w:styleId="TableGrid">
    <w:name w:val="Table Grid"/>
    <w:basedOn w:val="TableNormal"/>
    <w:uiPriority w:val="39"/>
    <w:rsid w:val="0040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49"/>
  </w:style>
  <w:style w:type="paragraph" w:styleId="Footer">
    <w:name w:val="footer"/>
    <w:basedOn w:val="Normal"/>
    <w:link w:val="FooterChar"/>
    <w:uiPriority w:val="99"/>
    <w:unhideWhenUsed/>
    <w:rsid w:val="009E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49"/>
  </w:style>
  <w:style w:type="paragraph" w:styleId="BalloonText">
    <w:name w:val="Balloon Text"/>
    <w:basedOn w:val="Normal"/>
    <w:link w:val="BalloonTextChar"/>
    <w:uiPriority w:val="99"/>
    <w:semiHidden/>
    <w:unhideWhenUsed/>
    <w:rsid w:val="009E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A339B-F5E4-45E3-8792-E09FE1F227F7}"/>
</file>

<file path=customXml/itemProps2.xml><?xml version="1.0" encoding="utf-8"?>
<ds:datastoreItem xmlns:ds="http://schemas.openxmlformats.org/officeDocument/2006/customXml" ds:itemID="{508E9FDC-4737-4B6C-80CD-EB0D2B1FB201}"/>
</file>

<file path=customXml/itemProps3.xml><?xml version="1.0" encoding="utf-8"?>
<ds:datastoreItem xmlns:ds="http://schemas.openxmlformats.org/officeDocument/2006/customXml" ds:itemID="{ECF91D2F-F0D1-4BF4-A7A8-A54DDE04D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Mello. Stephanie</dc:creator>
  <cp:keywords/>
  <dc:description/>
  <cp:lastModifiedBy>Chambers. Sherri</cp:lastModifiedBy>
  <cp:revision>4</cp:revision>
  <cp:lastPrinted>2020-02-11T17:22:00Z</cp:lastPrinted>
  <dcterms:created xsi:type="dcterms:W3CDTF">2020-02-14T23:44:00Z</dcterms:created>
  <dcterms:modified xsi:type="dcterms:W3CDTF">2020-02-15T00:13:00Z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