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9" w:type="dxa"/>
        <w:tblLook w:val="04A0" w:firstRow="1" w:lastRow="0" w:firstColumn="1" w:lastColumn="0" w:noHBand="0" w:noVBand="1"/>
      </w:tblPr>
      <w:tblGrid>
        <w:gridCol w:w="4819"/>
        <w:gridCol w:w="967"/>
        <w:gridCol w:w="1985"/>
        <w:gridCol w:w="2028"/>
      </w:tblGrid>
      <w:tr w:rsidR="00B82C75" w:rsidRPr="006F0EFD" w14:paraId="191E440E" w14:textId="77777777" w:rsidTr="00B82C75">
        <w:trPr>
          <w:trHeight w:val="336"/>
        </w:trPr>
        <w:tc>
          <w:tcPr>
            <w:tcW w:w="5786" w:type="dxa"/>
            <w:gridSpan w:val="2"/>
            <w:vMerge w:val="restart"/>
            <w:vAlign w:val="center"/>
          </w:tcPr>
          <w:p w14:paraId="1CE80478" w14:textId="77777777" w:rsidR="00B82C75" w:rsidRPr="00CC0C91" w:rsidRDefault="00B82C75" w:rsidP="00E56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7E4E828" wp14:editId="59D2E92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137795</wp:posOffset>
                  </wp:positionV>
                  <wp:extent cx="561975" cy="561975"/>
                  <wp:effectExtent l="0" t="0" r="9525" b="9525"/>
                  <wp:wrapNone/>
                  <wp:docPr id="1" name="Picture 1" descr="CO-logo1-M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-logo1-M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110091" w14:textId="27547BF3" w:rsidR="00B82C75" w:rsidRPr="00CC0C91" w:rsidRDefault="00B82C75" w:rsidP="00E567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Pr="00CC0C91">
              <w:rPr>
                <w:rFonts w:ascii="Arial" w:hAnsi="Arial" w:cs="Arial"/>
                <w:b/>
                <w:sz w:val="24"/>
                <w:szCs w:val="24"/>
              </w:rPr>
              <w:t>County of Sacramento</w:t>
            </w:r>
          </w:p>
          <w:p w14:paraId="4A4FC6A5" w14:textId="1EC4DB66" w:rsidR="00B82C75" w:rsidRPr="00CC0C91" w:rsidRDefault="00B82C75" w:rsidP="00E567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Department of Health</w:t>
            </w:r>
            <w:r w:rsidRPr="00CC0C91">
              <w:rPr>
                <w:rFonts w:ascii="Arial" w:hAnsi="Arial" w:cs="Arial"/>
                <w:b/>
                <w:sz w:val="24"/>
                <w:szCs w:val="24"/>
              </w:rPr>
              <w:t xml:space="preserve"> Services</w:t>
            </w:r>
          </w:p>
          <w:p w14:paraId="71847E2E" w14:textId="609ECE20" w:rsidR="00B82C75" w:rsidRPr="00CC0C91" w:rsidRDefault="00B82C75" w:rsidP="004C7974">
            <w:pPr>
              <w:pStyle w:val="BodyText3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Pr="00CC0C91">
              <w:rPr>
                <w:sz w:val="24"/>
              </w:rPr>
              <w:t>Division of Behavioral Health Services</w:t>
            </w:r>
          </w:p>
          <w:p w14:paraId="02E9AD8A" w14:textId="0B092BAA" w:rsidR="00B82C75" w:rsidRPr="00CC0C91" w:rsidRDefault="00B82C75" w:rsidP="00E56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Pr="00CC0C91">
              <w:rPr>
                <w:rFonts w:ascii="Arial" w:hAnsi="Arial" w:cs="Arial"/>
                <w:b/>
                <w:sz w:val="24"/>
                <w:szCs w:val="24"/>
              </w:rPr>
              <w:t>Policy and Procedure</w:t>
            </w:r>
          </w:p>
        </w:tc>
        <w:tc>
          <w:tcPr>
            <w:tcW w:w="1985" w:type="dxa"/>
            <w:vAlign w:val="bottom"/>
          </w:tcPr>
          <w:p w14:paraId="59B3404D" w14:textId="77777777" w:rsidR="00B82C75" w:rsidRPr="00CC0C91" w:rsidRDefault="00B82C75" w:rsidP="00453EB9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 w:cs="Arial"/>
                <w:sz w:val="24"/>
                <w:szCs w:val="24"/>
              </w:rPr>
              <w:t>Policy Issue</w:t>
            </w:r>
            <w:r w:rsidRPr="00CC0C91">
              <w:rPr>
                <w:rFonts w:ascii="Arial" w:eastAsia="PMingLiU" w:hAnsi="Arial" w:cs="Arial"/>
                <w:sz w:val="24"/>
                <w:szCs w:val="24"/>
                <w:lang w:eastAsia="zh-TW"/>
              </w:rPr>
              <w:t>r</w:t>
            </w:r>
            <w:r w:rsidRPr="00CC0C91">
              <w:rPr>
                <w:rFonts w:ascii="Arial" w:hAnsi="Arial" w:cs="Arial"/>
                <w:sz w:val="24"/>
                <w:szCs w:val="24"/>
              </w:rPr>
              <w:t xml:space="preserve"> (Unit</w:t>
            </w:r>
            <w:r w:rsidRPr="00CC0C91">
              <w:rPr>
                <w:rFonts w:ascii="Arial" w:eastAsia="PMingLiU" w:hAnsi="Arial" w:cs="Arial"/>
                <w:sz w:val="24"/>
                <w:szCs w:val="24"/>
                <w:lang w:eastAsia="zh-TW"/>
              </w:rPr>
              <w:t>/Program</w:t>
            </w:r>
            <w:r w:rsidRPr="00CC0C9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28" w:type="dxa"/>
            <w:vAlign w:val="bottom"/>
          </w:tcPr>
          <w:p w14:paraId="4CB6BA84" w14:textId="77777777" w:rsidR="00B82C75" w:rsidRPr="00CC0C91" w:rsidRDefault="00B82C75" w:rsidP="00453E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QM</w:t>
            </w:r>
          </w:p>
        </w:tc>
      </w:tr>
      <w:tr w:rsidR="00B82C75" w:rsidRPr="006F0EFD" w14:paraId="6A069294" w14:textId="77777777" w:rsidTr="00B82C75">
        <w:trPr>
          <w:trHeight w:val="333"/>
        </w:trPr>
        <w:tc>
          <w:tcPr>
            <w:tcW w:w="5786" w:type="dxa"/>
            <w:gridSpan w:val="2"/>
            <w:vMerge/>
          </w:tcPr>
          <w:p w14:paraId="6FECD888" w14:textId="77777777" w:rsidR="00B82C75" w:rsidRPr="00CC0C91" w:rsidRDefault="00B82C75" w:rsidP="00453E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6C3BD290" w14:textId="77777777" w:rsidR="00B82C75" w:rsidRPr="00CC0C91" w:rsidRDefault="00B82C75" w:rsidP="00453EB9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 w:cs="Arial"/>
                <w:sz w:val="24"/>
                <w:szCs w:val="24"/>
              </w:rPr>
              <w:t>Policy Number</w:t>
            </w:r>
          </w:p>
        </w:tc>
        <w:tc>
          <w:tcPr>
            <w:tcW w:w="2028" w:type="dxa"/>
            <w:vAlign w:val="bottom"/>
          </w:tcPr>
          <w:p w14:paraId="4E09D393" w14:textId="77777777" w:rsidR="00B82C75" w:rsidRPr="00CC0C91" w:rsidRDefault="00B82C75" w:rsidP="00AC35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QM-</w:t>
            </w:r>
            <w:r>
              <w:rPr>
                <w:rFonts w:ascii="Arial" w:hAnsi="Arial" w:cs="Arial"/>
                <w:b/>
                <w:sz w:val="24"/>
                <w:szCs w:val="24"/>
              </w:rPr>
              <w:t>08-02</w:t>
            </w:r>
          </w:p>
        </w:tc>
      </w:tr>
      <w:tr w:rsidR="00B82C75" w:rsidRPr="006F0EFD" w14:paraId="30B9AF91" w14:textId="77777777" w:rsidTr="00B82C75">
        <w:trPr>
          <w:trHeight w:val="333"/>
        </w:trPr>
        <w:tc>
          <w:tcPr>
            <w:tcW w:w="5786" w:type="dxa"/>
            <w:gridSpan w:val="2"/>
            <w:vMerge/>
          </w:tcPr>
          <w:p w14:paraId="35C26077" w14:textId="77777777" w:rsidR="00B82C75" w:rsidRPr="00CC0C91" w:rsidRDefault="00B82C75" w:rsidP="00453E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CFB90CA" w14:textId="77777777" w:rsidR="00B82C75" w:rsidRPr="00CC0C91" w:rsidRDefault="00B82C75" w:rsidP="00453EB9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 w:cs="Arial"/>
                <w:sz w:val="24"/>
                <w:szCs w:val="24"/>
              </w:rPr>
              <w:t>Effective Date</w:t>
            </w:r>
          </w:p>
        </w:tc>
        <w:tc>
          <w:tcPr>
            <w:tcW w:w="2028" w:type="dxa"/>
            <w:vAlign w:val="bottom"/>
          </w:tcPr>
          <w:p w14:paraId="59EE943C" w14:textId="77777777" w:rsidR="00B82C75" w:rsidRPr="00CC0C91" w:rsidRDefault="00B82C75" w:rsidP="00453EB9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68686C">
              <w:rPr>
                <w:rFonts w:ascii="Arial" w:hAnsi="Arial" w:cs="Arial"/>
                <w:b/>
                <w:sz w:val="24"/>
                <w:szCs w:val="24"/>
              </w:rPr>
              <w:t>12-28-2020</w:t>
            </w:r>
          </w:p>
        </w:tc>
      </w:tr>
      <w:tr w:rsidR="00B82C75" w:rsidRPr="006F0EFD" w14:paraId="2D885B06" w14:textId="77777777" w:rsidTr="00B82C75">
        <w:trPr>
          <w:trHeight w:val="323"/>
        </w:trPr>
        <w:tc>
          <w:tcPr>
            <w:tcW w:w="5786" w:type="dxa"/>
            <w:gridSpan w:val="2"/>
            <w:vMerge/>
          </w:tcPr>
          <w:p w14:paraId="023E1DC6" w14:textId="77777777" w:rsidR="00B82C75" w:rsidRPr="00CC0C91" w:rsidRDefault="00B82C75" w:rsidP="00453E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408F3B9" w14:textId="77777777" w:rsidR="00B82C75" w:rsidRPr="00CC0C91" w:rsidRDefault="00B82C75" w:rsidP="00453EB9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 w:cs="Arial"/>
                <w:sz w:val="24"/>
                <w:szCs w:val="24"/>
              </w:rPr>
              <w:t>Revision Date</w:t>
            </w:r>
          </w:p>
        </w:tc>
        <w:tc>
          <w:tcPr>
            <w:tcW w:w="2028" w:type="dxa"/>
            <w:vAlign w:val="bottom"/>
          </w:tcPr>
          <w:p w14:paraId="067ABBEE" w14:textId="77777777" w:rsidR="00B82C75" w:rsidRPr="00CC0C91" w:rsidRDefault="00B82C75" w:rsidP="00453E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EB9" w:rsidRPr="006F0EFD" w14:paraId="2D5F8AA4" w14:textId="77777777" w:rsidTr="00B82C75">
        <w:tc>
          <w:tcPr>
            <w:tcW w:w="4819" w:type="dxa"/>
          </w:tcPr>
          <w:p w14:paraId="6318CC8B" w14:textId="77777777" w:rsidR="00453EB9" w:rsidRPr="00CC0C91" w:rsidRDefault="00453EB9" w:rsidP="00E56709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496BE8C1" w14:textId="77777777" w:rsidR="00593720" w:rsidRPr="00B82C75" w:rsidRDefault="0065052D" w:rsidP="00B82C75">
            <w:pPr>
              <w:pStyle w:val="Title"/>
            </w:pPr>
            <w:r w:rsidRPr="00B82C75">
              <w:t>Continuity of Care</w:t>
            </w:r>
          </w:p>
          <w:p w14:paraId="4BCD2268" w14:textId="77777777" w:rsidR="00593720" w:rsidRPr="00CC0C91" w:rsidRDefault="00593720" w:rsidP="00E567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DD802" w14:textId="77777777" w:rsidR="00593720" w:rsidRPr="00CC0C91" w:rsidRDefault="00593720" w:rsidP="00E567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0" w:type="dxa"/>
            <w:gridSpan w:val="3"/>
          </w:tcPr>
          <w:p w14:paraId="0344919B" w14:textId="77777777" w:rsidR="00453EB9" w:rsidRPr="00CC0C91" w:rsidRDefault="00453EB9" w:rsidP="00E56709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 w:cs="Arial"/>
                <w:sz w:val="24"/>
                <w:szCs w:val="24"/>
              </w:rPr>
              <w:t>Functional Area:</w:t>
            </w:r>
          </w:p>
          <w:p w14:paraId="7892A8B8" w14:textId="77777777" w:rsidR="00F90B8F" w:rsidRPr="00CC0C91" w:rsidRDefault="00AC35A8" w:rsidP="00E567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Coordination and Continuity of Care</w:t>
            </w:r>
          </w:p>
        </w:tc>
      </w:tr>
      <w:tr w:rsidR="00453EB9" w:rsidRPr="006F0EFD" w14:paraId="0CEB3042" w14:textId="77777777" w:rsidTr="00B82C75">
        <w:trPr>
          <w:trHeight w:val="516"/>
        </w:trPr>
        <w:tc>
          <w:tcPr>
            <w:tcW w:w="9799" w:type="dxa"/>
            <w:gridSpan w:val="4"/>
          </w:tcPr>
          <w:p w14:paraId="4556806E" w14:textId="77777777" w:rsidR="00F90B8F" w:rsidRPr="00CC0C91" w:rsidRDefault="00453EB9" w:rsidP="00E567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sz w:val="24"/>
                <w:szCs w:val="24"/>
              </w:rPr>
              <w:t>Approved By:</w:t>
            </w:r>
            <w:r w:rsidR="00F90B8F" w:rsidRPr="00CC0C91">
              <w:rPr>
                <w:rFonts w:ascii="Arial" w:hAnsi="Arial" w:cs="Arial"/>
                <w:sz w:val="24"/>
                <w:szCs w:val="24"/>
              </w:rPr>
              <w:t xml:space="preserve"> (Signature on File) </w:t>
            </w:r>
            <w:r w:rsidR="00F90B8F" w:rsidRPr="00CC0C91">
              <w:rPr>
                <w:rFonts w:ascii="Arial" w:hAnsi="Arial" w:cs="Arial"/>
                <w:b/>
                <w:sz w:val="24"/>
                <w:szCs w:val="24"/>
              </w:rPr>
              <w:t xml:space="preserve">Signed version available upon request </w:t>
            </w:r>
          </w:p>
          <w:p w14:paraId="2289E769" w14:textId="77777777" w:rsidR="00593720" w:rsidRPr="00CC0C91" w:rsidRDefault="00593720" w:rsidP="00E567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F6CC1" w14:textId="77777777" w:rsidR="00593720" w:rsidRPr="00CC0C91" w:rsidRDefault="00F90B8F" w:rsidP="00E567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Alexandra Rechs, LMFT</w:t>
            </w:r>
          </w:p>
          <w:p w14:paraId="767BF822" w14:textId="77777777" w:rsidR="00593720" w:rsidRPr="00CC0C91" w:rsidRDefault="00F90B8F" w:rsidP="00E56709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 w:cs="Arial"/>
                <w:sz w:val="24"/>
                <w:szCs w:val="24"/>
              </w:rPr>
              <w:t>Program Manager, Quality Management</w:t>
            </w:r>
          </w:p>
        </w:tc>
      </w:tr>
    </w:tbl>
    <w:p w14:paraId="35A709DA" w14:textId="77777777" w:rsidR="004C7974" w:rsidRPr="00CC0C91" w:rsidRDefault="004C7974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31BAAC" w14:textId="77777777" w:rsidR="004C7974" w:rsidRPr="00CC0C91" w:rsidRDefault="004C7974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D34774" w14:textId="77777777" w:rsidR="00974299" w:rsidRPr="00CC0C91" w:rsidRDefault="00DF3272" w:rsidP="00B82C7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BACKGROUND/CONTEXT:</w:t>
      </w:r>
    </w:p>
    <w:p w14:paraId="5E69075A" w14:textId="77777777" w:rsidR="00974299" w:rsidRPr="00CC0C91" w:rsidRDefault="00974299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4BFC35" w14:textId="77777777" w:rsidR="0093597C" w:rsidRPr="00CC0C91" w:rsidRDefault="000B2787" w:rsidP="004C79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t xml:space="preserve">In accordance with the Code of Federal Regulations (CFR), section 438.62, Sacramento County Mental Health Plan (MHP) </w:t>
      </w:r>
      <w:r w:rsidR="00974299" w:rsidRPr="00CC0C91">
        <w:rPr>
          <w:rFonts w:ascii="Arial" w:hAnsi="Arial" w:cs="Arial"/>
          <w:sz w:val="24"/>
          <w:szCs w:val="24"/>
        </w:rPr>
        <w:t>is committed</w:t>
      </w:r>
      <w:r w:rsidRPr="00CC0C91">
        <w:rPr>
          <w:rFonts w:ascii="Arial" w:hAnsi="Arial" w:cs="Arial"/>
          <w:sz w:val="24"/>
          <w:szCs w:val="24"/>
        </w:rPr>
        <w:t xml:space="preserve"> to ensuring that beneficiaries have access to continued </w:t>
      </w:r>
      <w:r w:rsidR="00974299" w:rsidRPr="00CC0C91">
        <w:rPr>
          <w:rFonts w:ascii="Arial" w:hAnsi="Arial" w:cs="Arial"/>
          <w:sz w:val="24"/>
          <w:szCs w:val="24"/>
        </w:rPr>
        <w:t xml:space="preserve">mental health services as he or she transitions </w:t>
      </w:r>
      <w:r w:rsidR="00632472" w:rsidRPr="00CC0C91">
        <w:rPr>
          <w:rFonts w:ascii="Arial" w:hAnsi="Arial" w:cs="Arial"/>
          <w:sz w:val="24"/>
          <w:szCs w:val="24"/>
        </w:rPr>
        <w:t>from a Med</w:t>
      </w:r>
      <w:r w:rsidR="007A7015" w:rsidRPr="00CC0C91">
        <w:rPr>
          <w:rFonts w:ascii="Arial" w:hAnsi="Arial" w:cs="Arial"/>
          <w:sz w:val="24"/>
          <w:szCs w:val="24"/>
        </w:rPr>
        <w:t>i-Cal Fee-F</w:t>
      </w:r>
      <w:r w:rsidR="005873E1" w:rsidRPr="00CC0C91">
        <w:rPr>
          <w:rFonts w:ascii="Arial" w:hAnsi="Arial" w:cs="Arial"/>
          <w:sz w:val="24"/>
          <w:szCs w:val="24"/>
        </w:rPr>
        <w:t>o</w:t>
      </w:r>
      <w:r w:rsidR="007A7015" w:rsidRPr="00CC0C91">
        <w:rPr>
          <w:rFonts w:ascii="Arial" w:hAnsi="Arial" w:cs="Arial"/>
          <w:sz w:val="24"/>
          <w:szCs w:val="24"/>
        </w:rPr>
        <w:t>r-Service (FFS) or Managed C</w:t>
      </w:r>
      <w:r w:rsidR="00695E21" w:rsidRPr="00CC0C91">
        <w:rPr>
          <w:rFonts w:ascii="Arial" w:hAnsi="Arial" w:cs="Arial"/>
          <w:sz w:val="24"/>
          <w:szCs w:val="24"/>
        </w:rPr>
        <w:t xml:space="preserve">are </w:t>
      </w:r>
      <w:r w:rsidR="007A7015" w:rsidRPr="00CC0C91">
        <w:rPr>
          <w:rFonts w:ascii="Arial" w:hAnsi="Arial" w:cs="Arial"/>
          <w:sz w:val="24"/>
          <w:szCs w:val="24"/>
        </w:rPr>
        <w:t>P</w:t>
      </w:r>
      <w:r w:rsidR="00695E21" w:rsidRPr="00CC0C91">
        <w:rPr>
          <w:rFonts w:ascii="Arial" w:hAnsi="Arial" w:cs="Arial"/>
          <w:sz w:val="24"/>
          <w:szCs w:val="24"/>
        </w:rPr>
        <w:t xml:space="preserve">lan </w:t>
      </w:r>
      <w:r w:rsidR="0039595B" w:rsidRPr="00CC0C91">
        <w:rPr>
          <w:rFonts w:ascii="Arial" w:hAnsi="Arial" w:cs="Arial"/>
          <w:sz w:val="24"/>
          <w:szCs w:val="24"/>
        </w:rPr>
        <w:t xml:space="preserve">(MCP) </w:t>
      </w:r>
      <w:r w:rsidR="005873E1" w:rsidRPr="00CC0C91">
        <w:rPr>
          <w:rFonts w:ascii="Arial" w:hAnsi="Arial" w:cs="Arial"/>
          <w:sz w:val="24"/>
          <w:szCs w:val="24"/>
        </w:rPr>
        <w:t>to t</w:t>
      </w:r>
      <w:r w:rsidR="00632472" w:rsidRPr="00CC0C91">
        <w:rPr>
          <w:rFonts w:ascii="Arial" w:hAnsi="Arial" w:cs="Arial"/>
          <w:sz w:val="24"/>
          <w:szCs w:val="24"/>
        </w:rPr>
        <w:t xml:space="preserve">he </w:t>
      </w:r>
      <w:r w:rsidR="00072F3E" w:rsidRPr="00CC0C91">
        <w:rPr>
          <w:rFonts w:ascii="Arial" w:hAnsi="Arial" w:cs="Arial"/>
          <w:sz w:val="24"/>
          <w:szCs w:val="24"/>
        </w:rPr>
        <w:t xml:space="preserve">Sacramento County </w:t>
      </w:r>
      <w:r w:rsidR="00632472" w:rsidRPr="00CC0C91">
        <w:rPr>
          <w:rFonts w:ascii="Arial" w:hAnsi="Arial" w:cs="Arial"/>
          <w:sz w:val="24"/>
          <w:szCs w:val="24"/>
        </w:rPr>
        <w:t>MHP or trans</w:t>
      </w:r>
      <w:r w:rsidR="00FF359F" w:rsidRPr="00CC0C91">
        <w:rPr>
          <w:rFonts w:ascii="Arial" w:hAnsi="Arial" w:cs="Arial"/>
          <w:sz w:val="24"/>
          <w:szCs w:val="24"/>
        </w:rPr>
        <w:t>itions from t</w:t>
      </w:r>
      <w:r w:rsidR="0039595B" w:rsidRPr="00CC0C91">
        <w:rPr>
          <w:rFonts w:ascii="Arial" w:hAnsi="Arial" w:cs="Arial"/>
          <w:sz w:val="24"/>
          <w:szCs w:val="24"/>
        </w:rPr>
        <w:t xml:space="preserve">he </w:t>
      </w:r>
      <w:r w:rsidR="00072F3E" w:rsidRPr="00CC0C91">
        <w:rPr>
          <w:rFonts w:ascii="Arial" w:hAnsi="Arial" w:cs="Arial"/>
          <w:sz w:val="24"/>
          <w:szCs w:val="24"/>
        </w:rPr>
        <w:t xml:space="preserve">Sacramento County </w:t>
      </w:r>
      <w:r w:rsidR="0039595B" w:rsidRPr="00CC0C91">
        <w:rPr>
          <w:rFonts w:ascii="Arial" w:hAnsi="Arial" w:cs="Arial"/>
          <w:sz w:val="24"/>
          <w:szCs w:val="24"/>
        </w:rPr>
        <w:t xml:space="preserve">MHP to another </w:t>
      </w:r>
      <w:r w:rsidR="00072F3E" w:rsidRPr="00CC0C91">
        <w:rPr>
          <w:rFonts w:ascii="Arial" w:hAnsi="Arial" w:cs="Arial"/>
          <w:sz w:val="24"/>
          <w:szCs w:val="24"/>
        </w:rPr>
        <w:t xml:space="preserve">MHP or </w:t>
      </w:r>
      <w:r w:rsidR="0039595B" w:rsidRPr="00CC0C91">
        <w:rPr>
          <w:rFonts w:ascii="Arial" w:hAnsi="Arial" w:cs="Arial"/>
          <w:sz w:val="24"/>
          <w:szCs w:val="24"/>
        </w:rPr>
        <w:t>MCP</w:t>
      </w:r>
      <w:r w:rsidR="00974299" w:rsidRPr="00CC0C91">
        <w:rPr>
          <w:rFonts w:ascii="Arial" w:hAnsi="Arial" w:cs="Arial"/>
          <w:sz w:val="24"/>
          <w:szCs w:val="24"/>
        </w:rPr>
        <w:t xml:space="preserve"> when the beneficiary, in the absence of continued services, would suffer serious detriment to his or her health or be at risk of hospitalization or institutionalization.</w:t>
      </w:r>
      <w:r w:rsidRPr="00CC0C91">
        <w:rPr>
          <w:rFonts w:ascii="Arial" w:hAnsi="Arial" w:cs="Arial"/>
          <w:sz w:val="24"/>
          <w:szCs w:val="24"/>
        </w:rPr>
        <w:t xml:space="preserve"> </w:t>
      </w:r>
    </w:p>
    <w:p w14:paraId="44176867" w14:textId="77777777" w:rsidR="00F90B8F" w:rsidRPr="00CC0C91" w:rsidRDefault="00F90B8F" w:rsidP="004C7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0D07AA" w14:textId="77777777" w:rsidR="008529C0" w:rsidRPr="00CC0C91" w:rsidRDefault="008529C0" w:rsidP="004C7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EBF333" w14:textId="77777777" w:rsidR="001E687A" w:rsidRPr="00CC0C91" w:rsidRDefault="00DF3272" w:rsidP="00B82C75">
      <w:pPr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DEFINITIONS:</w:t>
      </w:r>
    </w:p>
    <w:p w14:paraId="25DDE1B1" w14:textId="77777777" w:rsidR="004C7974" w:rsidRPr="00CC0C91" w:rsidRDefault="004C7974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280802" w14:textId="77777777" w:rsidR="0093597C" w:rsidRPr="00CC0C91" w:rsidRDefault="00C33042" w:rsidP="004C79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Network Provider</w:t>
      </w:r>
      <w:r w:rsidRPr="00CC0C91">
        <w:rPr>
          <w:rFonts w:ascii="Arial" w:hAnsi="Arial" w:cs="Arial"/>
          <w:sz w:val="24"/>
          <w:szCs w:val="24"/>
        </w:rPr>
        <w:t xml:space="preserve">: An employee of the </w:t>
      </w:r>
      <w:r w:rsidR="008E40BF" w:rsidRPr="00CC0C91">
        <w:rPr>
          <w:rFonts w:ascii="Arial" w:hAnsi="Arial" w:cs="Arial"/>
          <w:sz w:val="24"/>
          <w:szCs w:val="24"/>
        </w:rPr>
        <w:t xml:space="preserve">Sacramento County </w:t>
      </w:r>
      <w:r w:rsidRPr="00CC0C91">
        <w:rPr>
          <w:rFonts w:ascii="Arial" w:hAnsi="Arial" w:cs="Arial"/>
          <w:sz w:val="24"/>
          <w:szCs w:val="24"/>
        </w:rPr>
        <w:t>MHP or a contracted organizational provider, provider group, or individual practitioner.</w:t>
      </w:r>
    </w:p>
    <w:p w14:paraId="36C82439" w14:textId="77777777" w:rsidR="00CC7971" w:rsidRPr="00CC0C91" w:rsidRDefault="00CC7971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225CF9" w14:textId="77777777" w:rsidR="00CC7971" w:rsidRPr="00CC0C91" w:rsidRDefault="00CC7971" w:rsidP="004C797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C0C91">
        <w:rPr>
          <w:rFonts w:ascii="Arial" w:hAnsi="Arial" w:cs="Arial"/>
          <w:b/>
          <w:sz w:val="24"/>
          <w:szCs w:val="24"/>
        </w:rPr>
        <w:t>Out-of</w:t>
      </w:r>
      <w:proofErr w:type="spellEnd"/>
      <w:r w:rsidRPr="00CC0C91">
        <w:rPr>
          <w:rFonts w:ascii="Arial" w:hAnsi="Arial" w:cs="Arial"/>
          <w:b/>
          <w:sz w:val="24"/>
          <w:szCs w:val="24"/>
        </w:rPr>
        <w:t xml:space="preserve"> Network Provider</w:t>
      </w:r>
      <w:r w:rsidRPr="00CC0C91">
        <w:rPr>
          <w:rFonts w:ascii="Arial" w:hAnsi="Arial" w:cs="Arial"/>
          <w:sz w:val="24"/>
          <w:szCs w:val="24"/>
        </w:rPr>
        <w:t>: An individual practitioner, provider group, or organizational provider that is not contracted with the Sacramento County MHP to provide Specialty Mental Health Services</w:t>
      </w:r>
      <w:r w:rsidR="00790CA1" w:rsidRPr="00CC0C91">
        <w:rPr>
          <w:rFonts w:ascii="Arial" w:hAnsi="Arial" w:cs="Arial"/>
          <w:sz w:val="24"/>
          <w:szCs w:val="24"/>
        </w:rPr>
        <w:t xml:space="preserve"> </w:t>
      </w:r>
      <w:r w:rsidR="008E40BF" w:rsidRPr="00CC0C91">
        <w:rPr>
          <w:rFonts w:ascii="Arial" w:hAnsi="Arial" w:cs="Arial"/>
          <w:sz w:val="24"/>
          <w:szCs w:val="24"/>
        </w:rPr>
        <w:t xml:space="preserve">(SMHS) </w:t>
      </w:r>
      <w:r w:rsidR="002544F0" w:rsidRPr="00CC0C91">
        <w:rPr>
          <w:rFonts w:ascii="Arial" w:hAnsi="Arial" w:cs="Arial"/>
          <w:sz w:val="24"/>
          <w:szCs w:val="24"/>
        </w:rPr>
        <w:t>and is not a</w:t>
      </w:r>
      <w:r w:rsidR="00572497" w:rsidRPr="00CC0C91">
        <w:rPr>
          <w:rFonts w:ascii="Arial" w:hAnsi="Arial" w:cs="Arial"/>
          <w:sz w:val="24"/>
          <w:szCs w:val="24"/>
        </w:rPr>
        <w:t xml:space="preserve"> Medi-Cal certified provider</w:t>
      </w:r>
      <w:r w:rsidRPr="00CC0C91">
        <w:rPr>
          <w:rFonts w:ascii="Arial" w:hAnsi="Arial" w:cs="Arial"/>
          <w:sz w:val="24"/>
          <w:szCs w:val="24"/>
        </w:rPr>
        <w:t>.</w:t>
      </w:r>
    </w:p>
    <w:p w14:paraId="3C559420" w14:textId="77777777" w:rsidR="0037245F" w:rsidRPr="00CC0C91" w:rsidRDefault="0037245F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205708" w14:textId="77777777" w:rsidR="0037245F" w:rsidRPr="00CC0C91" w:rsidRDefault="0037245F" w:rsidP="003724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Pre-Existing Relationship</w:t>
      </w:r>
      <w:r w:rsidRPr="00CC0C91">
        <w:rPr>
          <w:rFonts w:ascii="Arial" w:hAnsi="Arial" w:cs="Arial"/>
          <w:sz w:val="24"/>
          <w:szCs w:val="24"/>
        </w:rPr>
        <w:t>: The beneficiary has received mental health services from an out-of-network provider at least once during the 12 month period prior to</w:t>
      </w:r>
      <w:r w:rsidR="008F3EE2" w:rsidRPr="00CC0C91">
        <w:rPr>
          <w:rFonts w:ascii="Arial" w:hAnsi="Arial" w:cs="Arial"/>
          <w:sz w:val="24"/>
          <w:szCs w:val="24"/>
        </w:rPr>
        <w:t>: 1)</w:t>
      </w:r>
      <w:r w:rsidRPr="00CC0C91">
        <w:rPr>
          <w:rFonts w:ascii="Arial" w:hAnsi="Arial" w:cs="Arial"/>
          <w:sz w:val="24"/>
          <w:szCs w:val="24"/>
        </w:rPr>
        <w:t xml:space="preserve"> </w:t>
      </w:r>
      <w:r w:rsidR="008F3EE2" w:rsidRPr="00CC0C91">
        <w:rPr>
          <w:rFonts w:ascii="Arial" w:hAnsi="Arial" w:cs="Arial"/>
          <w:sz w:val="24"/>
          <w:szCs w:val="24"/>
        </w:rPr>
        <w:t>the beneficiary establishing residency in Sacramento County,</w:t>
      </w:r>
      <w:r w:rsidR="00931402" w:rsidRPr="00CC0C91">
        <w:rPr>
          <w:rFonts w:ascii="Arial" w:hAnsi="Arial" w:cs="Arial"/>
          <w:sz w:val="24"/>
          <w:szCs w:val="24"/>
        </w:rPr>
        <w:t xml:space="preserve"> and/or</w:t>
      </w:r>
      <w:r w:rsidR="008F3EE2" w:rsidRPr="00CC0C91">
        <w:rPr>
          <w:rFonts w:ascii="Arial" w:hAnsi="Arial" w:cs="Arial"/>
          <w:sz w:val="24"/>
          <w:szCs w:val="24"/>
        </w:rPr>
        <w:t xml:space="preserve"> 2) the Sacrament</w:t>
      </w:r>
      <w:r w:rsidR="00931402" w:rsidRPr="00CC0C91">
        <w:rPr>
          <w:rFonts w:ascii="Arial" w:hAnsi="Arial" w:cs="Arial"/>
          <w:sz w:val="24"/>
          <w:szCs w:val="24"/>
        </w:rPr>
        <w:t>o County MHP receiving a referral from</w:t>
      </w:r>
      <w:r w:rsidR="008F3EE2" w:rsidRPr="00CC0C91">
        <w:rPr>
          <w:rFonts w:ascii="Arial" w:hAnsi="Arial" w:cs="Arial"/>
          <w:sz w:val="24"/>
          <w:szCs w:val="24"/>
        </w:rPr>
        <w:t xml:space="preserve"> another MHP or MCP, and/or 3) </w:t>
      </w:r>
      <w:r w:rsidR="00931402" w:rsidRPr="00CC0C91">
        <w:rPr>
          <w:rFonts w:ascii="Arial" w:hAnsi="Arial" w:cs="Arial"/>
          <w:sz w:val="24"/>
          <w:szCs w:val="24"/>
        </w:rPr>
        <w:t xml:space="preserve">the </w:t>
      </w:r>
      <w:r w:rsidR="008F3EE2" w:rsidRPr="00CC0C91">
        <w:rPr>
          <w:rFonts w:ascii="Arial" w:hAnsi="Arial" w:cs="Arial"/>
          <w:sz w:val="24"/>
          <w:szCs w:val="24"/>
        </w:rPr>
        <w:t xml:space="preserve">Sacramento County </w:t>
      </w:r>
      <w:r w:rsidR="00931402" w:rsidRPr="00CC0C91">
        <w:rPr>
          <w:rFonts w:ascii="Arial" w:hAnsi="Arial" w:cs="Arial"/>
          <w:sz w:val="24"/>
          <w:szCs w:val="24"/>
        </w:rPr>
        <w:t xml:space="preserve">MHP </w:t>
      </w:r>
      <w:r w:rsidR="008F3EE2" w:rsidRPr="00CC0C91">
        <w:rPr>
          <w:rFonts w:ascii="Arial" w:hAnsi="Arial" w:cs="Arial"/>
          <w:sz w:val="24"/>
          <w:szCs w:val="24"/>
        </w:rPr>
        <w:t>making a determination that the beneficiary meets medi</w:t>
      </w:r>
      <w:r w:rsidR="005F7B83" w:rsidRPr="00CC0C91">
        <w:rPr>
          <w:rFonts w:ascii="Arial" w:hAnsi="Arial" w:cs="Arial"/>
          <w:sz w:val="24"/>
          <w:szCs w:val="24"/>
        </w:rPr>
        <w:t xml:space="preserve">cal necessity criteria for SMHS, </w:t>
      </w:r>
      <w:r w:rsidR="00931402" w:rsidRPr="00CC0C91">
        <w:rPr>
          <w:rFonts w:ascii="Arial" w:hAnsi="Arial" w:cs="Arial"/>
          <w:sz w:val="24"/>
          <w:szCs w:val="24"/>
        </w:rPr>
        <w:t>and/</w:t>
      </w:r>
      <w:r w:rsidR="005F7B83" w:rsidRPr="00CC0C91">
        <w:rPr>
          <w:rFonts w:ascii="Arial" w:hAnsi="Arial" w:cs="Arial"/>
          <w:sz w:val="24"/>
          <w:szCs w:val="24"/>
        </w:rPr>
        <w:t>or 4</w:t>
      </w:r>
      <w:r w:rsidR="00931402" w:rsidRPr="00CC0C91">
        <w:rPr>
          <w:rFonts w:ascii="Arial" w:hAnsi="Arial" w:cs="Arial"/>
          <w:sz w:val="24"/>
          <w:szCs w:val="24"/>
        </w:rPr>
        <w:t xml:space="preserve">) the beneficiary or provider making </w:t>
      </w:r>
      <w:r w:rsidR="00411199" w:rsidRPr="00CC0C91">
        <w:rPr>
          <w:rFonts w:ascii="Arial" w:hAnsi="Arial" w:cs="Arial"/>
          <w:sz w:val="24"/>
          <w:szCs w:val="24"/>
        </w:rPr>
        <w:t xml:space="preserve">information </w:t>
      </w:r>
      <w:r w:rsidR="00931402" w:rsidRPr="00CC0C91">
        <w:rPr>
          <w:rFonts w:ascii="Arial" w:hAnsi="Arial" w:cs="Arial"/>
          <w:sz w:val="24"/>
          <w:szCs w:val="24"/>
        </w:rPr>
        <w:t xml:space="preserve">available </w:t>
      </w:r>
      <w:r w:rsidR="005F7B83" w:rsidRPr="00CC0C91">
        <w:rPr>
          <w:rFonts w:ascii="Arial" w:hAnsi="Arial" w:cs="Arial"/>
          <w:sz w:val="24"/>
          <w:szCs w:val="24"/>
        </w:rPr>
        <w:t xml:space="preserve">to the </w:t>
      </w:r>
      <w:r w:rsidR="00931402" w:rsidRPr="00CC0C91">
        <w:rPr>
          <w:rFonts w:ascii="Arial" w:hAnsi="Arial" w:cs="Arial"/>
          <w:sz w:val="24"/>
          <w:szCs w:val="24"/>
        </w:rPr>
        <w:t xml:space="preserve">Sacramento County </w:t>
      </w:r>
      <w:r w:rsidR="005F7B83" w:rsidRPr="00CC0C91">
        <w:rPr>
          <w:rFonts w:ascii="Arial" w:hAnsi="Arial" w:cs="Arial"/>
          <w:sz w:val="24"/>
          <w:szCs w:val="24"/>
        </w:rPr>
        <w:t>MHP verifying the pre-existing relationship.</w:t>
      </w:r>
      <w:r w:rsidR="008F3EE2" w:rsidRPr="00CC0C91">
        <w:rPr>
          <w:rFonts w:ascii="Arial" w:hAnsi="Arial" w:cs="Arial"/>
          <w:sz w:val="24"/>
          <w:szCs w:val="24"/>
        </w:rPr>
        <w:t xml:space="preserve"> </w:t>
      </w:r>
    </w:p>
    <w:p w14:paraId="05B7ABB8" w14:textId="77777777" w:rsidR="00C81725" w:rsidRPr="00CC0C91" w:rsidRDefault="00C81725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37534" w14:textId="77777777" w:rsidR="00F90B8F" w:rsidRPr="00CC0C91" w:rsidRDefault="00C81725" w:rsidP="00F90B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Termination</w:t>
      </w:r>
      <w:r w:rsidRPr="00CC0C91">
        <w:rPr>
          <w:rFonts w:ascii="Arial" w:hAnsi="Arial" w:cs="Arial"/>
          <w:sz w:val="24"/>
          <w:szCs w:val="24"/>
        </w:rPr>
        <w:t xml:space="preserve">: The provider voluntarily terminated employment or contract with the </w:t>
      </w:r>
      <w:r w:rsidR="008E40BF" w:rsidRPr="00CC0C91">
        <w:rPr>
          <w:rFonts w:ascii="Arial" w:hAnsi="Arial" w:cs="Arial"/>
          <w:sz w:val="24"/>
          <w:szCs w:val="24"/>
        </w:rPr>
        <w:t xml:space="preserve">Sacramento County </w:t>
      </w:r>
      <w:r w:rsidRPr="00CC0C91">
        <w:rPr>
          <w:rFonts w:ascii="Arial" w:hAnsi="Arial" w:cs="Arial"/>
          <w:sz w:val="24"/>
          <w:szCs w:val="24"/>
        </w:rPr>
        <w:t xml:space="preserve">MHP, or </w:t>
      </w:r>
      <w:r w:rsidR="0037245F" w:rsidRPr="00CC0C91">
        <w:rPr>
          <w:rFonts w:ascii="Arial" w:hAnsi="Arial" w:cs="Arial"/>
          <w:sz w:val="24"/>
          <w:szCs w:val="24"/>
        </w:rPr>
        <w:t xml:space="preserve">the </w:t>
      </w:r>
      <w:r w:rsidR="008E40BF" w:rsidRPr="00CC0C91">
        <w:rPr>
          <w:rFonts w:ascii="Arial" w:hAnsi="Arial" w:cs="Arial"/>
          <w:sz w:val="24"/>
          <w:szCs w:val="24"/>
        </w:rPr>
        <w:t xml:space="preserve">Sacramento County </w:t>
      </w:r>
      <w:r w:rsidR="0037245F" w:rsidRPr="00CC0C91">
        <w:rPr>
          <w:rFonts w:ascii="Arial" w:hAnsi="Arial" w:cs="Arial"/>
          <w:sz w:val="24"/>
          <w:szCs w:val="24"/>
        </w:rPr>
        <w:t>MHP terminated employment of</w:t>
      </w:r>
      <w:r w:rsidRPr="00CC0C91">
        <w:rPr>
          <w:rFonts w:ascii="Arial" w:hAnsi="Arial" w:cs="Arial"/>
          <w:sz w:val="24"/>
          <w:szCs w:val="24"/>
        </w:rPr>
        <w:t xml:space="preserve"> the provider ‘s contract, for a reason other than issues related to quality of care or eligibility of the provider to participate in the Medi-Cal program.</w:t>
      </w:r>
    </w:p>
    <w:p w14:paraId="20F4310C" w14:textId="77777777" w:rsidR="00C857D1" w:rsidRDefault="00C857D1" w:rsidP="00F90B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A553A" w14:textId="77777777" w:rsidR="00FB0D50" w:rsidRDefault="00FB0D50" w:rsidP="00F90B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7470EE" w14:textId="77777777" w:rsidR="00FB0D50" w:rsidRPr="00CC0C91" w:rsidRDefault="00FB0D50" w:rsidP="00F90B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1D32A6" w14:textId="77777777" w:rsidR="00A92BDD" w:rsidRDefault="00A92BDD" w:rsidP="004C7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2D027D" w14:textId="77777777" w:rsidR="00A92BDD" w:rsidRDefault="00A92BDD" w:rsidP="004C7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C55CBD" w14:textId="77777777" w:rsidR="001E687A" w:rsidRPr="00CC0C91" w:rsidRDefault="00DF3272" w:rsidP="00B82C7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PURPOSE:</w:t>
      </w:r>
    </w:p>
    <w:p w14:paraId="0A8384A6" w14:textId="77777777" w:rsidR="00F90B8F" w:rsidRPr="00CC0C91" w:rsidRDefault="001123C2" w:rsidP="00F90B8F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purpose of this policy is to </w:t>
      </w:r>
      <w:r w:rsidR="00C33042" w:rsidRPr="00CC0C91">
        <w:rPr>
          <w:rFonts w:ascii="Arial" w:eastAsia="SimSun" w:hAnsi="Arial" w:cs="Arial"/>
          <w:bCs/>
          <w:sz w:val="24"/>
          <w:szCs w:val="24"/>
          <w:lang w:eastAsia="en-US"/>
        </w:rPr>
        <w:t>provide guidance on how to respond to a ben</w:t>
      </w:r>
      <w:r w:rsidR="0039595B" w:rsidRPr="00CC0C91">
        <w:rPr>
          <w:rFonts w:ascii="Arial" w:eastAsia="SimSun" w:hAnsi="Arial" w:cs="Arial"/>
          <w:bCs/>
          <w:sz w:val="24"/>
          <w:szCs w:val="24"/>
          <w:lang w:eastAsia="en-US"/>
        </w:rPr>
        <w:t>eficiary’s request for continuity of care</w:t>
      </w:r>
      <w:r w:rsidR="00C33042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services </w:t>
      </w:r>
      <w:r w:rsidR="0092712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when transitioning to the </w:t>
      </w:r>
      <w:r w:rsidR="0039595B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Sacramento County </w:t>
      </w:r>
      <w:r w:rsidR="0092712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MHP from a pre-existing out-of-network provider, or </w:t>
      </w:r>
      <w:r w:rsidR="00C857D1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when </w:t>
      </w:r>
      <w:r w:rsidR="0092712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transitioning from the </w:t>
      </w:r>
      <w:r w:rsidR="0035390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Sacramento County </w:t>
      </w:r>
      <w:r w:rsidR="00790CA1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MHP to another </w:t>
      </w:r>
      <w:r w:rsidR="007158F7" w:rsidRPr="00CC0C91">
        <w:rPr>
          <w:rFonts w:ascii="Arial" w:eastAsia="SimSun" w:hAnsi="Arial" w:cs="Arial"/>
          <w:bCs/>
          <w:sz w:val="24"/>
          <w:szCs w:val="24"/>
          <w:lang w:eastAsia="en-US"/>
        </w:rPr>
        <w:t>MHP or MCP</w:t>
      </w:r>
      <w:r w:rsidR="00927128" w:rsidRPr="00CC0C91">
        <w:rPr>
          <w:rFonts w:ascii="Arial" w:eastAsia="SimSun" w:hAnsi="Arial" w:cs="Arial"/>
          <w:bCs/>
          <w:sz w:val="24"/>
          <w:szCs w:val="24"/>
          <w:lang w:eastAsia="en-US"/>
        </w:rPr>
        <w:t>.</w:t>
      </w:r>
    </w:p>
    <w:p w14:paraId="72847A71" w14:textId="77777777" w:rsidR="00941B0D" w:rsidRPr="00CC0C91" w:rsidRDefault="00941B0D" w:rsidP="004C7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5A2C59" w14:textId="77777777" w:rsidR="00941B0D" w:rsidRPr="00CC0C91" w:rsidRDefault="00941B0D" w:rsidP="004C797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64305F" w14:textId="77777777" w:rsidR="001E687A" w:rsidRPr="00CC0C91" w:rsidRDefault="00DF3272" w:rsidP="00B82C75">
      <w:pPr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DETAILS</w:t>
      </w:r>
      <w:r w:rsidRPr="00CC0C91">
        <w:rPr>
          <w:rFonts w:ascii="Arial" w:hAnsi="Arial" w:cs="Arial"/>
          <w:sz w:val="24"/>
          <w:szCs w:val="24"/>
        </w:rPr>
        <w:t>:</w:t>
      </w:r>
    </w:p>
    <w:p w14:paraId="1BA05E6B" w14:textId="77777777" w:rsidR="00091714" w:rsidRPr="00CC0C91" w:rsidRDefault="00091714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2E14C" w14:textId="77777777" w:rsidR="004C7974" w:rsidRPr="00CC0C91" w:rsidRDefault="00927128" w:rsidP="004C79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t>All eligible Medi-Cal beneficiaries, who meet medical necessity criteria for Specialty Mental Health S</w:t>
      </w:r>
      <w:r w:rsidR="00346E51" w:rsidRPr="00CC0C91">
        <w:rPr>
          <w:rFonts w:ascii="Arial" w:hAnsi="Arial" w:cs="Arial"/>
          <w:sz w:val="24"/>
          <w:szCs w:val="24"/>
        </w:rPr>
        <w:t>ervices (SMHS) with the MHP, have</w:t>
      </w:r>
      <w:r w:rsidRPr="00CC0C91">
        <w:rPr>
          <w:rFonts w:ascii="Arial" w:hAnsi="Arial" w:cs="Arial"/>
          <w:sz w:val="24"/>
          <w:szCs w:val="24"/>
        </w:rPr>
        <w:t xml:space="preserve"> the right to request continuity of care</w:t>
      </w:r>
      <w:r w:rsidR="00545C39" w:rsidRPr="00CC0C91">
        <w:rPr>
          <w:rFonts w:ascii="Arial" w:hAnsi="Arial" w:cs="Arial"/>
          <w:sz w:val="24"/>
          <w:szCs w:val="24"/>
        </w:rPr>
        <w:t xml:space="preserve"> services</w:t>
      </w:r>
      <w:r w:rsidRPr="00CC0C91">
        <w:rPr>
          <w:rFonts w:ascii="Arial" w:hAnsi="Arial" w:cs="Arial"/>
          <w:sz w:val="24"/>
          <w:szCs w:val="24"/>
        </w:rPr>
        <w:t xml:space="preserve">.  </w:t>
      </w:r>
      <w:r w:rsidR="00353908" w:rsidRPr="00CC0C91">
        <w:rPr>
          <w:rFonts w:ascii="Arial" w:hAnsi="Arial" w:cs="Arial"/>
          <w:sz w:val="24"/>
          <w:szCs w:val="24"/>
        </w:rPr>
        <w:t xml:space="preserve">The request may also be made on behalf of the beneficiary by an authorized representative. </w:t>
      </w:r>
      <w:r w:rsidR="000604FB" w:rsidRPr="00CC0C91">
        <w:rPr>
          <w:rFonts w:ascii="Arial" w:hAnsi="Arial" w:cs="Arial"/>
          <w:sz w:val="24"/>
          <w:szCs w:val="24"/>
        </w:rPr>
        <w:t xml:space="preserve"> </w:t>
      </w:r>
      <w:r w:rsidRPr="00CC0C91">
        <w:rPr>
          <w:rFonts w:ascii="Arial" w:hAnsi="Arial" w:cs="Arial"/>
          <w:sz w:val="24"/>
          <w:szCs w:val="24"/>
        </w:rPr>
        <w:t xml:space="preserve">Beneficiaries with pre-existing provider relationships, who make a request to </w:t>
      </w:r>
      <w:proofErr w:type="gramStart"/>
      <w:r w:rsidR="00545C39" w:rsidRPr="00CC0C91">
        <w:rPr>
          <w:rFonts w:ascii="Arial" w:hAnsi="Arial" w:cs="Arial"/>
          <w:sz w:val="24"/>
          <w:szCs w:val="24"/>
        </w:rPr>
        <w:t xml:space="preserve">the </w:t>
      </w:r>
      <w:r w:rsidRPr="00CC0C91">
        <w:rPr>
          <w:rFonts w:ascii="Arial" w:hAnsi="Arial" w:cs="Arial"/>
          <w:sz w:val="24"/>
          <w:szCs w:val="24"/>
        </w:rPr>
        <w:t>Sac</w:t>
      </w:r>
      <w:r w:rsidR="00823179" w:rsidRPr="00CC0C91">
        <w:rPr>
          <w:rFonts w:ascii="Arial" w:hAnsi="Arial" w:cs="Arial"/>
          <w:sz w:val="24"/>
          <w:szCs w:val="24"/>
        </w:rPr>
        <w:t>ramento</w:t>
      </w:r>
      <w:proofErr w:type="gramEnd"/>
      <w:r w:rsidR="00823179" w:rsidRPr="00CC0C91">
        <w:rPr>
          <w:rFonts w:ascii="Arial" w:hAnsi="Arial" w:cs="Arial"/>
          <w:sz w:val="24"/>
          <w:szCs w:val="24"/>
        </w:rPr>
        <w:t xml:space="preserve"> County MHP for continuity of care</w:t>
      </w:r>
      <w:r w:rsidRPr="00CC0C91">
        <w:rPr>
          <w:rFonts w:ascii="Arial" w:hAnsi="Arial" w:cs="Arial"/>
          <w:sz w:val="24"/>
          <w:szCs w:val="24"/>
        </w:rPr>
        <w:t xml:space="preserve"> services, will be given the optio</w:t>
      </w:r>
      <w:r w:rsidR="00EA3A60" w:rsidRPr="00CC0C91">
        <w:rPr>
          <w:rFonts w:ascii="Arial" w:hAnsi="Arial" w:cs="Arial"/>
          <w:sz w:val="24"/>
          <w:szCs w:val="24"/>
        </w:rPr>
        <w:t>n to continue services for a period not to exceed</w:t>
      </w:r>
      <w:r w:rsidRPr="00CC0C91">
        <w:rPr>
          <w:rFonts w:ascii="Arial" w:hAnsi="Arial" w:cs="Arial"/>
          <w:sz w:val="24"/>
          <w:szCs w:val="24"/>
        </w:rPr>
        <w:t xml:space="preserve"> 12 months</w:t>
      </w:r>
      <w:r w:rsidR="000E1AB6" w:rsidRPr="00CC0C91">
        <w:rPr>
          <w:rFonts w:ascii="Arial" w:hAnsi="Arial" w:cs="Arial"/>
          <w:sz w:val="24"/>
          <w:szCs w:val="24"/>
        </w:rPr>
        <w:t>,</w:t>
      </w:r>
      <w:r w:rsidRPr="00CC0C91">
        <w:rPr>
          <w:rFonts w:ascii="Arial" w:hAnsi="Arial" w:cs="Arial"/>
          <w:sz w:val="24"/>
          <w:szCs w:val="24"/>
        </w:rPr>
        <w:t xml:space="preserve"> with an </w:t>
      </w:r>
      <w:r w:rsidR="00353908" w:rsidRPr="00CC0C91">
        <w:rPr>
          <w:rFonts w:ascii="Arial" w:hAnsi="Arial" w:cs="Arial"/>
          <w:sz w:val="24"/>
          <w:szCs w:val="24"/>
        </w:rPr>
        <w:t xml:space="preserve">eligible </w:t>
      </w:r>
      <w:r w:rsidR="00823179" w:rsidRPr="00CC0C91">
        <w:rPr>
          <w:rFonts w:ascii="Arial" w:hAnsi="Arial" w:cs="Arial"/>
          <w:sz w:val="24"/>
          <w:szCs w:val="24"/>
        </w:rPr>
        <w:t>out-of-network Medi-C</w:t>
      </w:r>
      <w:r w:rsidRPr="00CC0C91">
        <w:rPr>
          <w:rFonts w:ascii="Arial" w:hAnsi="Arial" w:cs="Arial"/>
          <w:sz w:val="24"/>
          <w:szCs w:val="24"/>
        </w:rPr>
        <w:t>al provider or a terminated network provider</w:t>
      </w:r>
      <w:r w:rsidR="00D4401A">
        <w:rPr>
          <w:rFonts w:ascii="Arial" w:hAnsi="Arial" w:cs="Arial"/>
          <w:sz w:val="24"/>
          <w:szCs w:val="24"/>
        </w:rPr>
        <w:t>.  The purpose is</w:t>
      </w:r>
      <w:r w:rsidR="00353908" w:rsidRPr="00CC0C91">
        <w:rPr>
          <w:rFonts w:ascii="Arial" w:hAnsi="Arial" w:cs="Arial"/>
          <w:sz w:val="24"/>
          <w:szCs w:val="24"/>
        </w:rPr>
        <w:t xml:space="preserve"> to </w:t>
      </w:r>
      <w:r w:rsidR="00D4401A">
        <w:rPr>
          <w:rFonts w:ascii="Arial" w:hAnsi="Arial" w:cs="Arial"/>
          <w:sz w:val="24"/>
          <w:szCs w:val="24"/>
        </w:rPr>
        <w:t xml:space="preserve">allow the beneficiary to </w:t>
      </w:r>
      <w:r w:rsidR="00353908" w:rsidRPr="00CC0C91">
        <w:rPr>
          <w:rFonts w:ascii="Arial" w:hAnsi="Arial" w:cs="Arial"/>
          <w:sz w:val="24"/>
          <w:szCs w:val="24"/>
        </w:rPr>
        <w:t xml:space="preserve">complete a course of treatment or </w:t>
      </w:r>
      <w:r w:rsidR="00912DFB" w:rsidRPr="00CC0C91">
        <w:rPr>
          <w:rFonts w:ascii="Arial" w:hAnsi="Arial" w:cs="Arial"/>
          <w:sz w:val="24"/>
          <w:szCs w:val="24"/>
        </w:rPr>
        <w:t xml:space="preserve">to </w:t>
      </w:r>
      <w:r w:rsidR="00353908" w:rsidRPr="00CC0C91">
        <w:rPr>
          <w:rFonts w:ascii="Arial" w:hAnsi="Arial" w:cs="Arial"/>
          <w:sz w:val="24"/>
          <w:szCs w:val="24"/>
        </w:rPr>
        <w:t>arrange for a s</w:t>
      </w:r>
      <w:r w:rsidR="00912DFB" w:rsidRPr="00CC0C91">
        <w:rPr>
          <w:rFonts w:ascii="Arial" w:hAnsi="Arial" w:cs="Arial"/>
          <w:sz w:val="24"/>
          <w:szCs w:val="24"/>
        </w:rPr>
        <w:t>afe transfer</w:t>
      </w:r>
      <w:r w:rsidR="00823179" w:rsidRPr="00CC0C91">
        <w:rPr>
          <w:rFonts w:ascii="Arial" w:hAnsi="Arial" w:cs="Arial"/>
          <w:sz w:val="24"/>
          <w:szCs w:val="24"/>
        </w:rPr>
        <w:t xml:space="preserve"> of services</w:t>
      </w:r>
      <w:r w:rsidR="00731AA3" w:rsidRPr="00CC0C91">
        <w:rPr>
          <w:rFonts w:ascii="Arial" w:hAnsi="Arial" w:cs="Arial"/>
          <w:sz w:val="24"/>
          <w:szCs w:val="24"/>
        </w:rPr>
        <w:t xml:space="preserve"> as determined by the MHP, in consultation with the beneficiary and the provider, and consistent with good professional practice.</w:t>
      </w:r>
      <w:r w:rsidRPr="00CC0C91">
        <w:rPr>
          <w:rFonts w:ascii="Arial" w:hAnsi="Arial" w:cs="Arial"/>
          <w:sz w:val="24"/>
          <w:szCs w:val="24"/>
        </w:rPr>
        <w:t xml:space="preserve"> </w:t>
      </w:r>
    </w:p>
    <w:p w14:paraId="709A03D0" w14:textId="77777777" w:rsidR="00F90B8F" w:rsidRPr="00CC0C91" w:rsidRDefault="00F90B8F" w:rsidP="00CC7971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5F912F48" w14:textId="77777777" w:rsidR="00E87C97" w:rsidRPr="00CC0C91" w:rsidRDefault="00E87C97" w:rsidP="00E87C97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At any </w:t>
      </w:r>
      <w:proofErr w:type="spellStart"/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time,eligible</w:t>
      </w:r>
      <w:proofErr w:type="spellEnd"/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benenficiaries</w:t>
      </w:r>
      <w:proofErr w:type="spell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who meet SMHS criteria, may change their provider from an out-of-network provider to the Sacramento County MHP, </w:t>
      </w:r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whether or not</w:t>
      </w:r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a continuity of care relationship has been established.</w:t>
      </w:r>
    </w:p>
    <w:p w14:paraId="5FCFCC93" w14:textId="77777777" w:rsidR="00E87C97" w:rsidRPr="00CC0C91" w:rsidRDefault="00E87C97" w:rsidP="00E87C97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41E80110" w14:textId="77777777" w:rsidR="00EA3A60" w:rsidRPr="00CC0C91" w:rsidRDefault="00EA3A60" w:rsidP="00B82C75">
      <w:pPr>
        <w:spacing w:after="0" w:line="240" w:lineRule="auto"/>
        <w:outlineLvl w:val="2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  <w:r w:rsidRPr="00CC0C91"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  <w:t>Qualifications</w:t>
      </w:r>
    </w:p>
    <w:p w14:paraId="7C7D9E99" w14:textId="77777777" w:rsidR="00EA3A60" w:rsidRPr="00CC0C91" w:rsidRDefault="00EA3A60" w:rsidP="00CC7971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</w:p>
    <w:p w14:paraId="7A3A40F9" w14:textId="77777777" w:rsidR="00EA3A60" w:rsidRPr="00CC0C91" w:rsidRDefault="0060676A" w:rsidP="00CC7971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/>
          <w:bCs/>
          <w:sz w:val="24"/>
          <w:szCs w:val="24"/>
          <w:lang w:eastAsia="en-US"/>
        </w:rPr>
        <w:t>This policy applies to all Medi-Cal beneficiaries who are transitioning as follows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:</w:t>
      </w:r>
    </w:p>
    <w:p w14:paraId="27DB9827" w14:textId="77777777" w:rsidR="0060676A" w:rsidRPr="00CC0C91" w:rsidRDefault="0060676A" w:rsidP="0060676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provider has voluntarily terminated employme</w:t>
      </w:r>
      <w:r w:rsidR="00C92E19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nt or the contract with the </w:t>
      </w:r>
      <w:r w:rsidR="00800E7C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Sacramento County </w:t>
      </w:r>
      <w:proofErr w:type="gramStart"/>
      <w:r w:rsidR="00C92E19" w:rsidRPr="00CC0C91">
        <w:rPr>
          <w:rFonts w:ascii="Arial" w:eastAsia="SimSun" w:hAnsi="Arial" w:cs="Arial"/>
          <w:bCs/>
          <w:sz w:val="24"/>
          <w:szCs w:val="24"/>
          <w:lang w:eastAsia="en-US"/>
        </w:rPr>
        <w:t>MHP</w:t>
      </w:r>
      <w:proofErr w:type="gramEnd"/>
      <w:r w:rsidR="00C92E19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and, at the time of the contract’s termination, the beneficiary was r</w:t>
      </w:r>
      <w:r w:rsidR="0014320E" w:rsidRPr="00CC0C91">
        <w:rPr>
          <w:rFonts w:ascii="Arial" w:eastAsia="SimSun" w:hAnsi="Arial" w:cs="Arial"/>
          <w:bCs/>
          <w:sz w:val="24"/>
          <w:szCs w:val="24"/>
          <w:lang w:eastAsia="en-US"/>
        </w:rPr>
        <w:t>eceiving SMHS from the provider;</w:t>
      </w:r>
    </w:p>
    <w:p w14:paraId="2E68E836" w14:textId="77777777" w:rsidR="0060676A" w:rsidRPr="00CC0C91" w:rsidRDefault="0060676A" w:rsidP="0060676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provider’s employment </w:t>
      </w:r>
      <w:r w:rsidR="00C92E19" w:rsidRPr="00CC0C91">
        <w:rPr>
          <w:rFonts w:ascii="Arial" w:eastAsia="SimSun" w:hAnsi="Arial" w:cs="Arial"/>
          <w:bCs/>
          <w:sz w:val="24"/>
          <w:szCs w:val="24"/>
          <w:lang w:eastAsia="en-US"/>
        </w:rPr>
        <w:t>or contract was</w:t>
      </w:r>
      <w:r w:rsidR="003E0C5B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terminated by the </w:t>
      </w:r>
      <w:r w:rsidR="00800E7C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Sacramento County </w:t>
      </w:r>
      <w:proofErr w:type="gramStart"/>
      <w:r w:rsidR="003E0C5B" w:rsidRPr="00CC0C91">
        <w:rPr>
          <w:rFonts w:ascii="Arial" w:eastAsia="SimSun" w:hAnsi="Arial" w:cs="Arial"/>
          <w:bCs/>
          <w:sz w:val="24"/>
          <w:szCs w:val="24"/>
          <w:lang w:eastAsia="en-US"/>
        </w:rPr>
        <w:t>MHP</w:t>
      </w:r>
      <w:proofErr w:type="gramEnd"/>
      <w:r w:rsidR="00C92E19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and, at the time of the contract’s termination, the beneficiary was receiving SMHS from the pro</w:t>
      </w:r>
      <w:r w:rsidR="0014320E" w:rsidRPr="00CC0C91">
        <w:rPr>
          <w:rFonts w:ascii="Arial" w:eastAsia="SimSun" w:hAnsi="Arial" w:cs="Arial"/>
          <w:bCs/>
          <w:sz w:val="24"/>
          <w:szCs w:val="24"/>
          <w:lang w:eastAsia="en-US"/>
        </w:rPr>
        <w:t>vider;</w:t>
      </w:r>
    </w:p>
    <w:p w14:paraId="09A12382" w14:textId="77777777" w:rsidR="0060676A" w:rsidRPr="00CC0C91" w:rsidRDefault="00C92E19" w:rsidP="0060676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beneficiary is t</w:t>
      </w:r>
      <w:r w:rsidR="00800E7C" w:rsidRPr="00CC0C91">
        <w:rPr>
          <w:rFonts w:ascii="Arial" w:eastAsia="SimSun" w:hAnsi="Arial" w:cs="Arial"/>
          <w:bCs/>
          <w:sz w:val="24"/>
          <w:szCs w:val="24"/>
          <w:lang w:eastAsia="en-US"/>
        </w:rPr>
        <w:t>ransitioning to or from the Sacramento C</w:t>
      </w:r>
      <w:r w:rsidR="0060676A" w:rsidRPr="00CC0C91">
        <w:rPr>
          <w:rFonts w:ascii="Arial" w:eastAsia="SimSun" w:hAnsi="Arial" w:cs="Arial"/>
          <w:bCs/>
          <w:sz w:val="24"/>
          <w:szCs w:val="24"/>
          <w:lang w:eastAsia="en-US"/>
        </w:rPr>
        <w:t>ounty MHP to</w:t>
      </w:r>
      <w:r w:rsidR="00800E7C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or from</w:t>
      </w:r>
      <w:r w:rsidR="0060676A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another county MHP due to </w:t>
      </w:r>
      <w:r w:rsidR="003E0C5B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a </w:t>
      </w:r>
      <w:r w:rsidR="0060676A" w:rsidRPr="00CC0C91">
        <w:rPr>
          <w:rFonts w:ascii="Arial" w:eastAsia="SimSun" w:hAnsi="Arial" w:cs="Arial"/>
          <w:bCs/>
          <w:sz w:val="24"/>
          <w:szCs w:val="24"/>
          <w:lang w:eastAsia="en-US"/>
        </w:rPr>
        <w:t>change in the be</w:t>
      </w:r>
      <w:r w:rsidR="0014320E" w:rsidRPr="00CC0C91">
        <w:rPr>
          <w:rFonts w:ascii="Arial" w:eastAsia="SimSun" w:hAnsi="Arial" w:cs="Arial"/>
          <w:bCs/>
          <w:sz w:val="24"/>
          <w:szCs w:val="24"/>
          <w:lang w:eastAsia="en-US"/>
        </w:rPr>
        <w:t>neficiary’s county of residence;</w:t>
      </w:r>
    </w:p>
    <w:p w14:paraId="05DBD512" w14:textId="77777777" w:rsidR="0060676A" w:rsidRPr="00CC0C91" w:rsidRDefault="00C92E19" w:rsidP="0060676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beneficiary is t</w:t>
      </w:r>
      <w:r w:rsidR="005A3632" w:rsidRPr="00CC0C91">
        <w:rPr>
          <w:rFonts w:ascii="Arial" w:eastAsia="SimSun" w:hAnsi="Arial" w:cs="Arial"/>
          <w:bCs/>
          <w:sz w:val="24"/>
          <w:szCs w:val="24"/>
          <w:lang w:eastAsia="en-US"/>
        </w:rPr>
        <w:t>ransitioning</w:t>
      </w:r>
      <w:r w:rsidR="0060676A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from a Managed Care Plan to the Sacramento County MHP; or</w:t>
      </w:r>
    </w:p>
    <w:p w14:paraId="5D89D8C5" w14:textId="77777777" w:rsidR="0060676A" w:rsidRPr="00CC0C91" w:rsidRDefault="00C92E19" w:rsidP="0060676A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beneficiary is t</w:t>
      </w:r>
      <w:r w:rsidR="0060676A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ransitioning from 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a </w:t>
      </w:r>
      <w:r w:rsidR="0060676A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Medi-Cal FFS to the </w:t>
      </w:r>
      <w:r w:rsidR="0091575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Sacramento County </w:t>
      </w:r>
      <w:r w:rsidR="0060676A" w:rsidRPr="00CC0C91">
        <w:rPr>
          <w:rFonts w:ascii="Arial" w:eastAsia="SimSun" w:hAnsi="Arial" w:cs="Arial"/>
          <w:bCs/>
          <w:sz w:val="24"/>
          <w:szCs w:val="24"/>
          <w:lang w:eastAsia="en-US"/>
        </w:rPr>
        <w:t>MHP.</w:t>
      </w:r>
    </w:p>
    <w:p w14:paraId="0C4DF77A" w14:textId="77777777" w:rsidR="0060676A" w:rsidRPr="00CC0C91" w:rsidRDefault="0060676A" w:rsidP="0060676A">
      <w:pPr>
        <w:pStyle w:val="ListParagraph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261BCB1B" w14:textId="77777777" w:rsidR="00CC7971" w:rsidRPr="00CC0C91" w:rsidRDefault="00CC7971" w:rsidP="00CC7971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/>
          <w:bCs/>
          <w:sz w:val="24"/>
          <w:szCs w:val="24"/>
          <w:lang w:eastAsia="en-US"/>
        </w:rPr>
        <w:t xml:space="preserve">For continuity of care requests for services with an eligible out-of-network provider, </w:t>
      </w:r>
      <w:proofErr w:type="gramStart"/>
      <w:r w:rsidRPr="00CC0C91">
        <w:rPr>
          <w:rFonts w:ascii="Arial" w:eastAsia="SimSun" w:hAnsi="Arial" w:cs="Arial"/>
          <w:b/>
          <w:bCs/>
          <w:sz w:val="24"/>
          <w:szCs w:val="24"/>
          <w:lang w:eastAsia="en-US"/>
        </w:rPr>
        <w:t>all of</w:t>
      </w:r>
      <w:proofErr w:type="gramEnd"/>
      <w:r w:rsidRPr="00CC0C91">
        <w:rPr>
          <w:rFonts w:ascii="Arial" w:eastAsia="SimSun" w:hAnsi="Arial" w:cs="Arial"/>
          <w:b/>
          <w:bCs/>
          <w:sz w:val="24"/>
          <w:szCs w:val="24"/>
          <w:lang w:eastAsia="en-US"/>
        </w:rPr>
        <w:t xml:space="preserve"> the following conditions must be met:</w:t>
      </w:r>
    </w:p>
    <w:p w14:paraId="134B7EBD" w14:textId="77777777" w:rsidR="008F3EE2" w:rsidRPr="00CC0C91" w:rsidRDefault="00CC7971" w:rsidP="008F3EE2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MHP must be able to deter</w:t>
      </w:r>
      <w:r w:rsidR="0014320E" w:rsidRPr="00CC0C91">
        <w:rPr>
          <w:rFonts w:ascii="Arial" w:eastAsia="SimSun" w:hAnsi="Arial" w:cs="Arial"/>
          <w:bCs/>
          <w:sz w:val="24"/>
          <w:szCs w:val="24"/>
          <w:lang w:eastAsia="en-US"/>
        </w:rPr>
        <w:t>mine that the beneficiary has a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</w:t>
      </w:r>
      <w:r w:rsidR="0014320E" w:rsidRPr="00CC0C91">
        <w:rPr>
          <w:rFonts w:ascii="Arial" w:eastAsia="SimSun" w:hAnsi="Arial" w:cs="Arial"/>
          <w:bCs/>
          <w:sz w:val="24"/>
          <w:szCs w:val="24"/>
          <w:lang w:eastAsia="en-US"/>
        </w:rPr>
        <w:t>pre-</w:t>
      </w:r>
      <w:proofErr w:type="spell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exisiting</w:t>
      </w:r>
      <w:proofErr w:type="spell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relations</w:t>
      </w:r>
      <w:r w:rsidR="008F3EE2" w:rsidRPr="00CC0C91">
        <w:rPr>
          <w:rFonts w:ascii="Arial" w:eastAsia="SimSun" w:hAnsi="Arial" w:cs="Arial"/>
          <w:bCs/>
          <w:sz w:val="24"/>
          <w:szCs w:val="24"/>
          <w:lang w:eastAsia="en-US"/>
        </w:rPr>
        <w:t>hip with the provider,</w:t>
      </w:r>
    </w:p>
    <w:p w14:paraId="5249C76A" w14:textId="77777777" w:rsidR="00545C39" w:rsidRPr="00CC0C91" w:rsidRDefault="00545C39" w:rsidP="00CC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provider type is consistent with the State </w:t>
      </w:r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Plan</w:t>
      </w:r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and the provider meets the applicable professional standards under State law;</w:t>
      </w:r>
    </w:p>
    <w:p w14:paraId="73741488" w14:textId="77777777" w:rsidR="00545C39" w:rsidRPr="00CC0C91" w:rsidRDefault="00545C39" w:rsidP="00CC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provider agrees, in writing, to be subject to the same contractual terms and conditions </w:t>
      </w:r>
      <w:r w:rsidR="00A04982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that are imposed upon currently contracting network providers, including, but not limited to, credentialing, utilization review, and quality assurance; </w:t>
      </w:r>
    </w:p>
    <w:p w14:paraId="47449C3E" w14:textId="77777777" w:rsidR="00A63378" w:rsidRDefault="00AE678D" w:rsidP="00CC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lastRenderedPageBreak/>
        <w:t>Terminated provide</w:t>
      </w:r>
      <w:r w:rsidR="0014320E" w:rsidRPr="00CC0C91">
        <w:rPr>
          <w:rFonts w:ascii="Arial" w:eastAsia="SimSun" w:hAnsi="Arial" w:cs="Arial"/>
          <w:bCs/>
          <w:sz w:val="24"/>
          <w:szCs w:val="24"/>
          <w:lang w:eastAsia="en-US"/>
        </w:rPr>
        <w:t>r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s, whose services are continued beyond the contracted termination date, shall agree, in writing, to be subject to the same contractual terms </w:t>
      </w:r>
    </w:p>
    <w:p w14:paraId="2E2AD3A9" w14:textId="77777777" w:rsidR="00AE678D" w:rsidRPr="00CC0C91" w:rsidRDefault="00AE678D" w:rsidP="00CC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and conditions, including ra</w:t>
      </w:r>
      <w:r w:rsidR="0014320E" w:rsidRPr="00CC0C91">
        <w:rPr>
          <w:rFonts w:ascii="Arial" w:eastAsia="SimSun" w:hAnsi="Arial" w:cs="Arial"/>
          <w:bCs/>
          <w:sz w:val="24"/>
          <w:szCs w:val="24"/>
          <w:lang w:eastAsia="en-US"/>
        </w:rPr>
        <w:t>t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es</w:t>
      </w:r>
      <w:r w:rsidR="009E169F">
        <w:rPr>
          <w:rFonts w:ascii="Arial" w:eastAsia="SimSun" w:hAnsi="Arial" w:cs="Arial"/>
          <w:bCs/>
          <w:sz w:val="24"/>
          <w:szCs w:val="24"/>
          <w:lang w:eastAsia="en-US"/>
        </w:rPr>
        <w:t xml:space="preserve"> of compensation</w:t>
      </w:r>
      <w:r w:rsidR="00C72BB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that were imposed upon them prior to termination;</w:t>
      </w:r>
    </w:p>
    <w:p w14:paraId="3C06CBC4" w14:textId="77777777" w:rsidR="00A04982" w:rsidRPr="00CC0C91" w:rsidRDefault="00A04982" w:rsidP="00CC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provider agrees, in writing, to comply with State requirements for </w:t>
      </w:r>
      <w:r w:rsidR="00E21FED" w:rsidRPr="00CC0C91">
        <w:rPr>
          <w:rFonts w:ascii="Arial" w:eastAsia="SimSun" w:hAnsi="Arial" w:cs="Arial"/>
          <w:bCs/>
          <w:sz w:val="24"/>
          <w:szCs w:val="24"/>
          <w:lang w:eastAsia="en-US"/>
        </w:rPr>
        <w:t>SMHS, including documentation requirements in accordance with the MHP’s contract with DHCS;</w:t>
      </w:r>
    </w:p>
    <w:p w14:paraId="6BC40215" w14:textId="77777777" w:rsidR="00E21FED" w:rsidRPr="00CC0C91" w:rsidRDefault="00BC20EB" w:rsidP="00CC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provider supplies the MHP with all relevant treatment information for the purposes of determining medical necessity, including documentation of a current assessment, a current treatment plan, and relevant progress notes, </w:t>
      </w:r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a</w:t>
      </w:r>
      <w:r w:rsidR="00091714" w:rsidRPr="00CC0C91">
        <w:rPr>
          <w:rFonts w:ascii="Arial" w:eastAsia="SimSun" w:hAnsi="Arial" w:cs="Arial"/>
          <w:bCs/>
          <w:sz w:val="24"/>
          <w:szCs w:val="24"/>
          <w:lang w:eastAsia="en-US"/>
        </w:rPr>
        <w:t>s long as</w:t>
      </w:r>
      <w:proofErr w:type="gramEnd"/>
      <w:r w:rsidR="00091714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it is allowable under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</w:t>
      </w:r>
      <w:r w:rsidR="00091714" w:rsidRPr="00CC0C91">
        <w:rPr>
          <w:rFonts w:ascii="Arial" w:eastAsia="SimSun" w:hAnsi="Arial" w:cs="Arial"/>
          <w:bCs/>
          <w:sz w:val="24"/>
          <w:szCs w:val="24"/>
          <w:lang w:eastAsia="en-US"/>
        </w:rPr>
        <w:t>Federal and State privacy laws and regulations;</w:t>
      </w:r>
    </w:p>
    <w:p w14:paraId="5990BE56" w14:textId="77777777" w:rsidR="00091714" w:rsidRPr="00CC0C91" w:rsidRDefault="00091714" w:rsidP="00CC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provider is willing to accept the higher of the MHP’s provider contract rates or Medi-Cal Fee-for-Service rates;</w:t>
      </w:r>
    </w:p>
    <w:p w14:paraId="20E2D9DD" w14:textId="77777777" w:rsidR="00091714" w:rsidRPr="00CC0C91" w:rsidRDefault="00091714" w:rsidP="00CC797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MHP h</w:t>
      </w:r>
      <w:r w:rsidR="002B17F4" w:rsidRPr="00CC0C91">
        <w:rPr>
          <w:rFonts w:ascii="Arial" w:eastAsia="SimSun" w:hAnsi="Arial" w:cs="Arial"/>
          <w:bCs/>
          <w:sz w:val="24"/>
          <w:szCs w:val="24"/>
          <w:lang w:eastAsia="en-US"/>
        </w:rPr>
        <w:t>as not identified, verified, or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documented disqualifying quality of care issues to the extent that the provider would not be eligible to provide services to any other beneficiaries of the MHP.</w:t>
      </w:r>
    </w:p>
    <w:p w14:paraId="39CCA6FD" w14:textId="77777777" w:rsidR="00941B0D" w:rsidRPr="00CC0C91" w:rsidRDefault="00941B0D" w:rsidP="00A22CE4">
      <w:pPr>
        <w:pStyle w:val="ListParagraph"/>
        <w:spacing w:after="0" w:line="240" w:lineRule="auto"/>
        <w:ind w:left="0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</w:p>
    <w:p w14:paraId="7B2EF81F" w14:textId="77777777" w:rsidR="00941B0D" w:rsidRPr="00CC0C91" w:rsidRDefault="00941B0D" w:rsidP="00A22CE4">
      <w:pPr>
        <w:pStyle w:val="ListParagraph"/>
        <w:spacing w:after="0" w:line="240" w:lineRule="auto"/>
        <w:ind w:left="0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</w:p>
    <w:p w14:paraId="53F1B0A7" w14:textId="77777777" w:rsidR="00D3634D" w:rsidRPr="00CC0C91" w:rsidRDefault="00D3634D" w:rsidP="00B82C75">
      <w:pPr>
        <w:pStyle w:val="ListParagraph"/>
        <w:spacing w:after="0" w:line="240" w:lineRule="auto"/>
        <w:ind w:left="0"/>
        <w:outlineLvl w:val="0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  <w:r w:rsidRPr="00CC0C91"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  <w:t>PROCEDURE</w:t>
      </w:r>
    </w:p>
    <w:p w14:paraId="7A12C604" w14:textId="77777777" w:rsidR="00D3634D" w:rsidRPr="00CC0C91" w:rsidRDefault="00D3634D" w:rsidP="00CF32B2">
      <w:pPr>
        <w:pStyle w:val="ListParagraph"/>
        <w:spacing w:after="0" w:line="240" w:lineRule="auto"/>
        <w:ind w:left="360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</w:p>
    <w:p w14:paraId="3D436F01" w14:textId="77777777" w:rsidR="004B251F" w:rsidRPr="00CC0C91" w:rsidRDefault="00D3634D" w:rsidP="00A22CE4">
      <w:pPr>
        <w:pStyle w:val="ListParagraph"/>
        <w:spacing w:after="0" w:line="240" w:lineRule="auto"/>
        <w:ind w:left="0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beneficiary, the beneficiary’s authorized representative, or the beneficiary’s provider may contact the Sacramento County MHP to request continuity of care requests.  </w:t>
      </w:r>
      <w:proofErr w:type="spell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Beneficiiaries</w:t>
      </w:r>
      <w:proofErr w:type="spell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may request continuity of care services in person, in writing, or via telephone. Beneficiaries shall </w:t>
      </w:r>
      <w:r w:rsidRPr="00CC0C91">
        <w:rPr>
          <w:rFonts w:ascii="Arial" w:eastAsia="SimSun" w:hAnsi="Arial" w:cs="Arial"/>
          <w:bCs/>
          <w:i/>
          <w:sz w:val="24"/>
          <w:szCs w:val="24"/>
          <w:lang w:eastAsia="en-US"/>
        </w:rPr>
        <w:t>not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be required to make electronic or written requests.  Sacramento County MHP shall </w:t>
      </w:r>
      <w:r w:rsidR="004B251F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provide reasonable assistance to beneficiaries in completing requests for continuity of care.  Oral </w:t>
      </w:r>
      <w:proofErr w:type="spellStart"/>
      <w:r w:rsidR="004B251F" w:rsidRPr="00CC0C91">
        <w:rPr>
          <w:rFonts w:ascii="Arial" w:eastAsia="SimSun" w:hAnsi="Arial" w:cs="Arial"/>
          <w:bCs/>
          <w:sz w:val="24"/>
          <w:szCs w:val="24"/>
          <w:lang w:eastAsia="en-US"/>
        </w:rPr>
        <w:t>interpretion</w:t>
      </w:r>
      <w:proofErr w:type="spellEnd"/>
      <w:r w:rsidR="004B251F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and auxiliary aids shall be made available to beneficiaries, upon request, and at no cost to the beneficiary.</w:t>
      </w:r>
    </w:p>
    <w:p w14:paraId="5F065466" w14:textId="77777777" w:rsidR="004B251F" w:rsidRPr="00CC0C91" w:rsidRDefault="004B251F" w:rsidP="00CF32B2">
      <w:pPr>
        <w:pStyle w:val="ListParagraph"/>
        <w:spacing w:after="0" w:line="240" w:lineRule="auto"/>
        <w:ind w:left="360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10E0C17F" w14:textId="77777777" w:rsidR="00D3634D" w:rsidRPr="00294408" w:rsidRDefault="00781037" w:rsidP="00A22CE4">
      <w:pPr>
        <w:pStyle w:val="ListParagraph"/>
        <w:spacing w:after="0" w:line="240" w:lineRule="auto"/>
        <w:ind w:left="0"/>
        <w:rPr>
          <w:rFonts w:ascii="Arial" w:eastAsia="SimSun" w:hAnsi="Arial" w:cs="Arial"/>
          <w:b/>
          <w:bCs/>
          <w:sz w:val="24"/>
          <w:szCs w:val="24"/>
          <w:lang w:eastAsia="en-US"/>
        </w:rPr>
      </w:pPr>
      <w:r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>Sacramento County MHP</w:t>
      </w:r>
      <w:r w:rsidR="004B251F"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 xml:space="preserve">, upon receiving a request for continuity of care services, will verify </w:t>
      </w:r>
      <w:r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 xml:space="preserve">that </w:t>
      </w:r>
      <w:proofErr w:type="gramStart"/>
      <w:r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>all of</w:t>
      </w:r>
      <w:proofErr w:type="gramEnd"/>
      <w:r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 xml:space="preserve"> the above qualifications have been met. Once verified, </w:t>
      </w:r>
      <w:r w:rsidR="007C78DC"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 xml:space="preserve">the request will be </w:t>
      </w:r>
      <w:proofErr w:type="gramStart"/>
      <w:r w:rsidR="007C78DC"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>approved</w:t>
      </w:r>
      <w:proofErr w:type="gramEnd"/>
      <w:r w:rsidR="007C78DC"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 xml:space="preserve"> and </w:t>
      </w:r>
      <w:r w:rsidR="004B251F"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>the following steps</w:t>
      </w:r>
      <w:r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 xml:space="preserve"> will be taken</w:t>
      </w:r>
      <w:r w:rsidR="004B251F" w:rsidRPr="00294408">
        <w:rPr>
          <w:rFonts w:ascii="Arial" w:eastAsia="SimSun" w:hAnsi="Arial" w:cs="Arial"/>
          <w:b/>
          <w:bCs/>
          <w:sz w:val="24"/>
          <w:szCs w:val="24"/>
          <w:lang w:eastAsia="en-US"/>
        </w:rPr>
        <w:t>:</w:t>
      </w:r>
    </w:p>
    <w:p w14:paraId="196BE2F5" w14:textId="77777777" w:rsidR="004B251F" w:rsidRPr="00294408" w:rsidRDefault="004B251F" w:rsidP="004B251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294408">
        <w:rPr>
          <w:rFonts w:ascii="Arial" w:eastAsia="SimSun" w:hAnsi="Arial" w:cs="Arial"/>
          <w:bCs/>
          <w:sz w:val="24"/>
          <w:szCs w:val="24"/>
          <w:lang w:eastAsia="en-US"/>
        </w:rPr>
        <w:t xml:space="preserve">Make a good faith effort to contact the provider and </w:t>
      </w:r>
      <w:proofErr w:type="gramStart"/>
      <w:r w:rsidRPr="00294408">
        <w:rPr>
          <w:rFonts w:ascii="Arial" w:eastAsia="SimSun" w:hAnsi="Arial" w:cs="Arial"/>
          <w:bCs/>
          <w:sz w:val="24"/>
          <w:szCs w:val="24"/>
          <w:lang w:eastAsia="en-US"/>
        </w:rPr>
        <w:t>enter into</w:t>
      </w:r>
      <w:proofErr w:type="gramEnd"/>
      <w:r w:rsidRPr="00294408">
        <w:rPr>
          <w:rFonts w:ascii="Arial" w:eastAsia="SimSun" w:hAnsi="Arial" w:cs="Arial"/>
          <w:bCs/>
          <w:sz w:val="24"/>
          <w:szCs w:val="24"/>
          <w:lang w:eastAsia="en-US"/>
        </w:rPr>
        <w:t xml:space="preserve"> a contract, letter of agreement, single case agreement, or other form of formal relationship to establish continuity of care for the beneficiary.</w:t>
      </w:r>
    </w:p>
    <w:p w14:paraId="5AEE7EDC" w14:textId="77777777" w:rsidR="00476085" w:rsidRPr="00CC0C91" w:rsidRDefault="00476085" w:rsidP="004B251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MHP and the out-of-network provider will establish a Client Plan and Transition Plan for the beneficiary.</w:t>
      </w:r>
    </w:p>
    <w:p w14:paraId="0A859E0F" w14:textId="77777777" w:rsidR="00476085" w:rsidRPr="00CC0C91" w:rsidRDefault="00781037" w:rsidP="002468D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Notify the beneficiary</w:t>
      </w:r>
      <w:r w:rsidR="00476085" w:rsidRPr="00CC0C91">
        <w:rPr>
          <w:rFonts w:ascii="Arial" w:eastAsia="SimSun" w:hAnsi="Arial" w:cs="Arial"/>
          <w:bCs/>
          <w:sz w:val="24"/>
          <w:szCs w:val="24"/>
          <w:lang w:eastAsia="en-US"/>
        </w:rPr>
        <w:t>,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and/or his or her authorized representative</w:t>
      </w:r>
      <w:r w:rsidR="00476085" w:rsidRPr="00CC0C91">
        <w:rPr>
          <w:rFonts w:ascii="Arial" w:eastAsia="SimSun" w:hAnsi="Arial" w:cs="Arial"/>
          <w:bCs/>
          <w:sz w:val="24"/>
          <w:szCs w:val="24"/>
          <w:lang w:eastAsia="en-US"/>
        </w:rPr>
        <w:t>,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</w:t>
      </w:r>
      <w:r w:rsidR="00476085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in writing, 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that the continuity of care request has been approved</w:t>
      </w:r>
      <w:r w:rsidR="00476085" w:rsidRPr="00CC0C91">
        <w:rPr>
          <w:rFonts w:ascii="Arial" w:eastAsia="SimSun" w:hAnsi="Arial" w:cs="Arial"/>
          <w:bCs/>
          <w:sz w:val="24"/>
          <w:szCs w:val="24"/>
          <w:lang w:eastAsia="en-US"/>
        </w:rPr>
        <w:t>.  The approval letter must specify:</w:t>
      </w:r>
    </w:p>
    <w:p w14:paraId="430D5AA6" w14:textId="77777777" w:rsidR="00476085" w:rsidRPr="00CC0C91" w:rsidRDefault="00476085" w:rsidP="00476085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duration of the continuity of care </w:t>
      </w:r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arrangement</w:t>
      </w:r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;</w:t>
      </w:r>
    </w:p>
    <w:p w14:paraId="725B6ACB" w14:textId="77777777" w:rsidR="004B251F" w:rsidRPr="00CC0C91" w:rsidRDefault="00476085" w:rsidP="00392233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process that will occur to transition the beneficiary’s care at the end of the continuity of care period; and</w:t>
      </w:r>
    </w:p>
    <w:p w14:paraId="381CDB71" w14:textId="77777777" w:rsidR="00476085" w:rsidRPr="00CC0C91" w:rsidRDefault="00476085" w:rsidP="00476085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beneficiary’s right to choose a different provider from </w:t>
      </w:r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Sacramento</w:t>
      </w:r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County</w:t>
      </w:r>
      <w:r w:rsidR="00392233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MHP’s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provider network</w:t>
      </w:r>
      <w:r w:rsidR="00392233" w:rsidRPr="00CC0C91">
        <w:rPr>
          <w:rFonts w:ascii="Arial" w:eastAsia="SimSun" w:hAnsi="Arial" w:cs="Arial"/>
          <w:bCs/>
          <w:sz w:val="24"/>
          <w:szCs w:val="24"/>
          <w:lang w:eastAsia="en-US"/>
        </w:rPr>
        <w:t>.</w:t>
      </w:r>
    </w:p>
    <w:p w14:paraId="461B54E5" w14:textId="77777777" w:rsidR="00781037" w:rsidRPr="00CC0C91" w:rsidRDefault="00392233" w:rsidP="00392233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Each continuity of care request must be completed within the following timelines:</w:t>
      </w:r>
    </w:p>
    <w:p w14:paraId="21949CAD" w14:textId="77777777" w:rsidR="00392233" w:rsidRPr="00CC0C91" w:rsidRDefault="00392233" w:rsidP="00392233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Thirty (30) calendar days from the date the Sacramento County MHP received the request.</w:t>
      </w:r>
    </w:p>
    <w:p w14:paraId="5D4B5743" w14:textId="77777777" w:rsidR="00392233" w:rsidRPr="00CC0C91" w:rsidRDefault="003337A3" w:rsidP="00392233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Fifteen (15) calendar days</w:t>
      </w:r>
      <w:r w:rsidR="00392233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if the beneficiary’s condition requires more immediate attention, such 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as upcoming appoi</w:t>
      </w:r>
      <w:r w:rsidR="009E169F">
        <w:rPr>
          <w:rFonts w:ascii="Arial" w:eastAsia="SimSun" w:hAnsi="Arial" w:cs="Arial"/>
          <w:bCs/>
          <w:sz w:val="24"/>
          <w:szCs w:val="24"/>
          <w:lang w:eastAsia="en-US"/>
        </w:rPr>
        <w:t>n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tments or other pressing needs.</w:t>
      </w:r>
    </w:p>
    <w:p w14:paraId="2E5F8AF2" w14:textId="77777777" w:rsidR="003337A3" w:rsidRPr="00CC0C91" w:rsidRDefault="003337A3" w:rsidP="00392233">
      <w:pPr>
        <w:pStyle w:val="ListParagraph"/>
        <w:numPr>
          <w:ilvl w:val="1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Three (3) calendar days if there is a risk of harm to the beneficiary.</w:t>
      </w:r>
    </w:p>
    <w:p w14:paraId="22622515" w14:textId="77777777" w:rsidR="007B119D" w:rsidRPr="00CC0C91" w:rsidRDefault="007B119D" w:rsidP="007B119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Thirty (30) calendar days before the end of the continuity of care period, the Sacramento MHP must engage the provider, the </w:t>
      </w:r>
      <w:proofErr w:type="spellStart"/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beneficiary,and</w:t>
      </w:r>
      <w:proofErr w:type="spellEnd"/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/or the beneficiary’s 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lastRenderedPageBreak/>
        <w:t>representative, to ensure the continuity of services through the transition to a new provider.</w:t>
      </w:r>
    </w:p>
    <w:p w14:paraId="2A354ED4" w14:textId="77777777" w:rsidR="007B119D" w:rsidRDefault="007B119D" w:rsidP="007B119D">
      <w:pPr>
        <w:pStyle w:val="ListParagraph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5A1DD755" w14:textId="77777777" w:rsidR="00785589" w:rsidRDefault="00785589" w:rsidP="007B119D">
      <w:pPr>
        <w:pStyle w:val="ListParagraph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45DABA2F" w14:textId="77777777" w:rsidR="00785589" w:rsidRPr="00CC0C91" w:rsidRDefault="00785589" w:rsidP="007B119D">
      <w:pPr>
        <w:pStyle w:val="ListParagraph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732582E6" w14:textId="77777777" w:rsidR="007B119D" w:rsidRPr="00CC0C91" w:rsidRDefault="007B119D" w:rsidP="00B82C75">
      <w:pPr>
        <w:spacing w:after="0" w:line="240" w:lineRule="auto"/>
        <w:outlineLvl w:val="0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  <w:r w:rsidRPr="00CC0C91"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  <w:t>Retroactive Approval</w:t>
      </w:r>
    </w:p>
    <w:p w14:paraId="011BABFE" w14:textId="77777777" w:rsidR="00A22CE4" w:rsidRPr="00CC0C91" w:rsidRDefault="00A22CE4" w:rsidP="00A22CE4">
      <w:pPr>
        <w:spacing w:after="0" w:line="240" w:lineRule="auto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</w:p>
    <w:p w14:paraId="1DA1DB42" w14:textId="77777777" w:rsidR="003337A3" w:rsidRPr="00CC0C91" w:rsidRDefault="003337A3" w:rsidP="00A22CE4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Sacramento County MHP must retroactively approve a continuity of care request and reimburse providers for services that were already provided to a beneficiary under the following circumstances:</w:t>
      </w:r>
    </w:p>
    <w:p w14:paraId="65653E5B" w14:textId="77777777" w:rsidR="003337A3" w:rsidRPr="00CC0C91" w:rsidRDefault="003337A3" w:rsidP="00A22CE4">
      <w:pPr>
        <w:pStyle w:val="ListParagraph"/>
        <w:numPr>
          <w:ilvl w:val="1"/>
          <w:numId w:val="18"/>
        </w:numPr>
        <w:spacing w:after="0" w:line="240" w:lineRule="auto"/>
        <w:ind w:left="720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provider meets the continuity of care requirements.</w:t>
      </w:r>
    </w:p>
    <w:p w14:paraId="7816040E" w14:textId="77777777" w:rsidR="003337A3" w:rsidRPr="00CC0C91" w:rsidRDefault="003337A3" w:rsidP="00A22CE4">
      <w:pPr>
        <w:pStyle w:val="ListParagraph"/>
        <w:numPr>
          <w:ilvl w:val="1"/>
          <w:numId w:val="18"/>
        </w:numPr>
        <w:spacing w:after="0" w:line="240" w:lineRule="auto"/>
        <w:ind w:left="720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Services were provided after a referral was made to Sacramento MHP, and </w:t>
      </w:r>
    </w:p>
    <w:p w14:paraId="7FA69142" w14:textId="77777777" w:rsidR="003337A3" w:rsidRPr="00CC0C91" w:rsidRDefault="00B9614E" w:rsidP="00A22CE4">
      <w:pPr>
        <w:pStyle w:val="ListParagraph"/>
        <w:numPr>
          <w:ilvl w:val="1"/>
          <w:numId w:val="18"/>
        </w:numPr>
        <w:spacing w:after="0" w:line="240" w:lineRule="auto"/>
        <w:ind w:left="720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</w:t>
      </w:r>
      <w:r w:rsidR="003337A3" w:rsidRPr="00CC0C91">
        <w:rPr>
          <w:rFonts w:ascii="Arial" w:eastAsia="SimSun" w:hAnsi="Arial" w:cs="Arial"/>
          <w:bCs/>
          <w:sz w:val="24"/>
          <w:szCs w:val="24"/>
          <w:lang w:eastAsia="en-US"/>
        </w:rPr>
        <w:t>he beneficiary is determined to meet medical necessity criteria for SMHS.</w:t>
      </w:r>
    </w:p>
    <w:p w14:paraId="341F7AB4" w14:textId="77777777" w:rsidR="00E87C97" w:rsidRPr="00CC0C91" w:rsidRDefault="00E87C97" w:rsidP="00CC2CAB">
      <w:pPr>
        <w:spacing w:after="0" w:line="240" w:lineRule="auto"/>
        <w:ind w:left="360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36B30A42" w14:textId="77777777" w:rsidR="00E87C97" w:rsidRPr="00CC0C91" w:rsidRDefault="00E87C97" w:rsidP="00B82C75">
      <w:pPr>
        <w:spacing w:after="0" w:line="240" w:lineRule="auto"/>
        <w:outlineLvl w:val="1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  <w:r w:rsidRPr="00CC0C91"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  <w:t>Repeated Requests for Continued of Care</w:t>
      </w:r>
    </w:p>
    <w:p w14:paraId="0D9D48AB" w14:textId="77777777" w:rsidR="00E87C97" w:rsidRPr="00CC0C91" w:rsidRDefault="00E87C97" w:rsidP="004110AF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65F96E8F" w14:textId="77777777" w:rsidR="003F31E8" w:rsidRPr="00CC0C91" w:rsidRDefault="00EE4056" w:rsidP="004110AF">
      <w:pPr>
        <w:pStyle w:val="ListParagraph"/>
        <w:spacing w:after="0" w:line="240" w:lineRule="auto"/>
        <w:ind w:left="0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After the beneficiary’s continuity of </w:t>
      </w:r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care period</w:t>
      </w:r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ends, the beneficiary must return to the Sacramento County MHP for SMHS, if he or she chooses to continue receiving mental health services. </w:t>
      </w:r>
      <w:r w:rsidR="003F31E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continuity of care period may start over, </w:t>
      </w:r>
      <w:r w:rsidR="003F31E8" w:rsidRPr="00CC0C91">
        <w:rPr>
          <w:rFonts w:ascii="Arial" w:eastAsia="SimSun" w:hAnsi="Arial" w:cs="Arial"/>
          <w:b/>
          <w:bCs/>
          <w:sz w:val="24"/>
          <w:szCs w:val="24"/>
          <w:lang w:eastAsia="en-US"/>
        </w:rPr>
        <w:t>one (1) time</w:t>
      </w:r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>, when</w:t>
      </w:r>
      <w:r w:rsidR="003F31E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the beneficiary transitions from the Sacramento MHP to a MCP or Medi-Cal FFS for non-specialty mental health services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and subsequently transitions back</w:t>
      </w:r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to Sacramento County MHP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.</w:t>
      </w:r>
    </w:p>
    <w:p w14:paraId="2D1344C2" w14:textId="77777777" w:rsidR="00EE4056" w:rsidRPr="00CC0C91" w:rsidRDefault="00EE4056" w:rsidP="00CF32B2">
      <w:pPr>
        <w:pStyle w:val="ListParagraph"/>
        <w:spacing w:after="0" w:line="240" w:lineRule="auto"/>
        <w:ind w:left="360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57419407" w14:textId="77777777" w:rsidR="00EE4056" w:rsidRPr="00CC0C91" w:rsidRDefault="00EE4056" w:rsidP="00A22CE4">
      <w:pPr>
        <w:pStyle w:val="ListParagraph"/>
        <w:spacing w:after="0" w:line="240" w:lineRule="auto"/>
        <w:ind w:left="0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If the beneficiary </w:t>
      </w:r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changes</w:t>
      </w:r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county of residence more than on</w:t>
      </w:r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ce in a </w:t>
      </w:r>
      <w:proofErr w:type="gramStart"/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>12 month</w:t>
      </w:r>
      <w:proofErr w:type="gramEnd"/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period, the </w:t>
      </w:r>
      <w:proofErr w:type="gramStart"/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12 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month</w:t>
      </w:r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continuity of care period may start over with the second MHP and third MHP.  </w:t>
      </w:r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>After this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, the beneficiary may not be granted additional continuity of care requests with the same pre-existing provider.  </w:t>
      </w:r>
      <w:r w:rsidR="00095028" w:rsidRPr="00CC0C91">
        <w:rPr>
          <w:rFonts w:ascii="Arial" w:eastAsia="SimSun" w:hAnsi="Arial" w:cs="Arial"/>
          <w:bCs/>
          <w:sz w:val="24"/>
          <w:szCs w:val="24"/>
          <w:lang w:eastAsia="en-US"/>
        </w:rPr>
        <w:t>If th</w:t>
      </w:r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e Sacramento County MHP determines that additional </w:t>
      </w:r>
      <w:proofErr w:type="spellStart"/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>conintuity</w:t>
      </w:r>
      <w:proofErr w:type="spellEnd"/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of care requests will not be granted, </w:t>
      </w:r>
      <w:r w:rsidR="0009502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Sacramento County MHP should </w:t>
      </w:r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>inform</w:t>
      </w:r>
      <w:r w:rsidR="00095028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the beneficiary’s new county of residence </w:t>
      </w:r>
      <w:r w:rsidR="00EB55DB" w:rsidRPr="00CC0C91">
        <w:rPr>
          <w:rFonts w:ascii="Arial" w:eastAsia="SimSun" w:hAnsi="Arial" w:cs="Arial"/>
          <w:bCs/>
          <w:sz w:val="24"/>
          <w:szCs w:val="24"/>
          <w:lang w:eastAsia="en-US"/>
        </w:rPr>
        <w:t>about the beneficiary’s existing continuity of care request.</w:t>
      </w:r>
    </w:p>
    <w:p w14:paraId="09D8AA50" w14:textId="77777777" w:rsidR="003F31E8" w:rsidRPr="00CC0C91" w:rsidRDefault="003F31E8" w:rsidP="00CF32B2">
      <w:pPr>
        <w:pStyle w:val="ListParagraph"/>
        <w:spacing w:after="0" w:line="240" w:lineRule="auto"/>
        <w:ind w:left="360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</w:p>
    <w:p w14:paraId="580A6367" w14:textId="77777777" w:rsidR="00CF32B2" w:rsidRPr="00CC0C91" w:rsidRDefault="003C443E" w:rsidP="00B82C75">
      <w:pPr>
        <w:pStyle w:val="ListParagraph"/>
        <w:spacing w:after="0" w:line="240" w:lineRule="auto"/>
        <w:ind w:left="0"/>
        <w:outlineLvl w:val="2"/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</w:pPr>
      <w:r w:rsidRPr="00CC0C91"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  <w:t>Denial of</w:t>
      </w:r>
      <w:r w:rsidR="00CF32B2" w:rsidRPr="00CC0C91">
        <w:rPr>
          <w:rFonts w:ascii="Arial" w:eastAsia="SimSun" w:hAnsi="Arial" w:cs="Arial"/>
          <w:b/>
          <w:bCs/>
          <w:sz w:val="24"/>
          <w:szCs w:val="24"/>
          <w:u w:val="single"/>
          <w:lang w:eastAsia="en-US"/>
        </w:rPr>
        <w:t xml:space="preserve"> Continuity of Care Requests</w:t>
      </w:r>
    </w:p>
    <w:p w14:paraId="219443EE" w14:textId="77777777" w:rsidR="00CF32B2" w:rsidRPr="00CC0C91" w:rsidRDefault="00CF32B2" w:rsidP="005B3676">
      <w:pPr>
        <w:pStyle w:val="ListParagraph"/>
        <w:spacing w:after="0" w:line="240" w:lineRule="auto"/>
        <w:ind w:left="0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4FFECF50" w14:textId="77777777" w:rsidR="008941AA" w:rsidRPr="00CC0C91" w:rsidRDefault="005A337D" w:rsidP="005B3676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If the provider does not agree to comp</w:t>
      </w:r>
      <w:r w:rsidR="00CF32B2" w:rsidRPr="00CC0C91">
        <w:rPr>
          <w:rFonts w:ascii="Arial" w:eastAsia="SimSun" w:hAnsi="Arial" w:cs="Arial"/>
          <w:bCs/>
          <w:sz w:val="24"/>
          <w:szCs w:val="24"/>
          <w:lang w:eastAsia="en-US"/>
        </w:rPr>
        <w:t>ly or does not comply with the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contractual terms and conditions, the MHP is not required to approve the continuity of care </w:t>
      </w:r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request</w:t>
      </w:r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. </w:t>
      </w:r>
      <w:r w:rsidR="008941AA" w:rsidRPr="00CC0C91">
        <w:rPr>
          <w:rFonts w:ascii="Arial" w:eastAsia="SimSun" w:hAnsi="Arial" w:cs="Arial"/>
          <w:bCs/>
          <w:sz w:val="24"/>
          <w:szCs w:val="24"/>
          <w:lang w:eastAsia="en-US"/>
        </w:rPr>
        <w:t>In addition, the Sacramento County MHP may deny a continuity of care request if:</w:t>
      </w:r>
    </w:p>
    <w:p w14:paraId="7D63FF55" w14:textId="77777777" w:rsidR="008941AA" w:rsidRPr="00CC0C91" w:rsidRDefault="008941AA" w:rsidP="00655AB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MHP has documented quality of care issues with the provider or,</w:t>
      </w:r>
    </w:p>
    <w:p w14:paraId="004766D4" w14:textId="77777777" w:rsidR="008941AA" w:rsidRPr="00CC0C91" w:rsidRDefault="008941AA" w:rsidP="00655AB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The MHP makes a good faith effort to contact the </w:t>
      </w:r>
      <w:proofErr w:type="gramStart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provider</w:t>
      </w:r>
      <w:proofErr w:type="gramEnd"/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and the provider is non-responsive for thirty (30) calendar days.</w:t>
      </w:r>
    </w:p>
    <w:p w14:paraId="4E408BBC" w14:textId="77777777" w:rsidR="00CC2CAB" w:rsidRPr="00CC0C91" w:rsidRDefault="00CC2CAB" w:rsidP="00CC2CAB">
      <w:pPr>
        <w:pStyle w:val="ListParagraph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1D3D9865" w14:textId="77777777" w:rsidR="00655AB8" w:rsidRPr="00CC0C91" w:rsidRDefault="005A337D" w:rsidP="005B3676">
      <w:p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If the continuity of care requ</w:t>
      </w:r>
      <w:r w:rsidR="008941AA" w:rsidRPr="00CC0C91">
        <w:rPr>
          <w:rFonts w:ascii="Arial" w:eastAsia="SimSun" w:hAnsi="Arial" w:cs="Arial"/>
          <w:bCs/>
          <w:sz w:val="24"/>
          <w:szCs w:val="24"/>
          <w:lang w:eastAsia="en-US"/>
        </w:rPr>
        <w:t>est is denied, for any reason, t</w:t>
      </w: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he MHP must notify the beneficiary, and/or the beneficiary’s authorized representative.</w:t>
      </w:r>
      <w:r w:rsidR="003C443E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This will be done by sending the appropriate Notice of Adverse Benefit Dete</w:t>
      </w:r>
      <w:r w:rsidR="009E169F">
        <w:rPr>
          <w:rFonts w:ascii="Arial" w:eastAsia="SimSun" w:hAnsi="Arial" w:cs="Arial"/>
          <w:bCs/>
          <w:sz w:val="24"/>
          <w:szCs w:val="24"/>
          <w:lang w:eastAsia="en-US"/>
        </w:rPr>
        <w:t>rmination (NOABD), which contai</w:t>
      </w:r>
      <w:r w:rsidR="003C443E" w:rsidRPr="00CC0C91">
        <w:rPr>
          <w:rFonts w:ascii="Arial" w:eastAsia="SimSun" w:hAnsi="Arial" w:cs="Arial"/>
          <w:bCs/>
          <w:sz w:val="24"/>
          <w:szCs w:val="24"/>
          <w:lang w:eastAsia="en-US"/>
        </w:rPr>
        <w:t>ns the following information:</w:t>
      </w:r>
    </w:p>
    <w:p w14:paraId="5F0C2E89" w14:textId="77777777" w:rsidR="003C443E" w:rsidRPr="00CC0C91" w:rsidRDefault="003C443E" w:rsidP="00655AB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A clear explanation of the reason for the denial;</w:t>
      </w:r>
    </w:p>
    <w:p w14:paraId="7162216C" w14:textId="77777777" w:rsidR="003C443E" w:rsidRPr="00CC0C91" w:rsidRDefault="003C443E" w:rsidP="00655AB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 w:rsidRPr="00CC0C91">
        <w:rPr>
          <w:rFonts w:ascii="Arial" w:eastAsia="SimSun" w:hAnsi="Arial" w:cs="Arial"/>
          <w:bCs/>
          <w:sz w:val="24"/>
          <w:szCs w:val="24"/>
          <w:lang w:eastAsia="en-US"/>
        </w:rPr>
        <w:t>The availability of In-Network providers for SMHS;</w:t>
      </w:r>
    </w:p>
    <w:p w14:paraId="5CA91C67" w14:textId="77777777" w:rsidR="003C443E" w:rsidRPr="00CC0C91" w:rsidRDefault="009E169F" w:rsidP="00655AB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>
        <w:rPr>
          <w:rFonts w:ascii="Arial" w:eastAsia="SimSun" w:hAnsi="Arial" w:cs="Arial"/>
          <w:bCs/>
          <w:sz w:val="24"/>
          <w:szCs w:val="24"/>
          <w:lang w:eastAsia="en-US"/>
        </w:rPr>
        <w:t>How and where to access SMH</w:t>
      </w:r>
      <w:r w:rsidR="00F8269B">
        <w:rPr>
          <w:rFonts w:ascii="Arial" w:eastAsia="SimSun" w:hAnsi="Arial" w:cs="Arial"/>
          <w:bCs/>
          <w:sz w:val="24"/>
          <w:szCs w:val="24"/>
          <w:lang w:eastAsia="en-US"/>
        </w:rPr>
        <w:t>S</w:t>
      </w:r>
      <w:r w:rsidR="003C443E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from the MHP</w:t>
      </w:r>
      <w:r>
        <w:rPr>
          <w:rFonts w:ascii="Arial" w:eastAsia="SimSun" w:hAnsi="Arial" w:cs="Arial"/>
          <w:bCs/>
          <w:sz w:val="24"/>
          <w:szCs w:val="24"/>
          <w:lang w:eastAsia="en-US"/>
        </w:rPr>
        <w:t>;</w:t>
      </w:r>
    </w:p>
    <w:p w14:paraId="5EB3721C" w14:textId="77777777" w:rsidR="003C443E" w:rsidRPr="00CC0C91" w:rsidRDefault="009E169F" w:rsidP="00655AB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>
        <w:rPr>
          <w:rFonts w:ascii="Arial" w:eastAsia="SimSun" w:hAnsi="Arial" w:cs="Arial"/>
          <w:bCs/>
          <w:sz w:val="24"/>
          <w:szCs w:val="24"/>
          <w:lang w:eastAsia="en-US"/>
        </w:rPr>
        <w:t>The beneficiary’s</w:t>
      </w:r>
      <w:r w:rsidR="003C443E" w:rsidRPr="00CC0C91">
        <w:rPr>
          <w:rFonts w:ascii="Arial" w:eastAsia="SimSun" w:hAnsi="Arial" w:cs="Arial"/>
          <w:bCs/>
          <w:sz w:val="24"/>
          <w:szCs w:val="24"/>
          <w:lang w:eastAsia="en-US"/>
        </w:rPr>
        <w:t xml:space="preserve"> right to file an appeal based on the NOABD; and</w:t>
      </w:r>
    </w:p>
    <w:p w14:paraId="252D7C15" w14:textId="77777777" w:rsidR="003C443E" w:rsidRPr="00CC0C91" w:rsidRDefault="009E169F" w:rsidP="00655AB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SimSun" w:hAnsi="Arial" w:cs="Arial"/>
          <w:bCs/>
          <w:sz w:val="24"/>
          <w:szCs w:val="24"/>
          <w:lang w:eastAsia="en-US"/>
        </w:rPr>
      </w:pPr>
      <w:r>
        <w:rPr>
          <w:rFonts w:ascii="Arial" w:eastAsia="SimSun" w:hAnsi="Arial" w:cs="Arial"/>
          <w:bCs/>
          <w:sz w:val="24"/>
          <w:szCs w:val="24"/>
          <w:lang w:eastAsia="en-US"/>
        </w:rPr>
        <w:t>The MHP’s Beneficiary Handbook and Provider D</w:t>
      </w:r>
      <w:r w:rsidR="003C443E" w:rsidRPr="00CC0C91">
        <w:rPr>
          <w:rFonts w:ascii="Arial" w:eastAsia="SimSun" w:hAnsi="Arial" w:cs="Arial"/>
          <w:bCs/>
          <w:sz w:val="24"/>
          <w:szCs w:val="24"/>
          <w:lang w:eastAsia="en-US"/>
        </w:rPr>
        <w:t>irectory.</w:t>
      </w:r>
    </w:p>
    <w:p w14:paraId="5CFDF849" w14:textId="77777777" w:rsidR="005A337D" w:rsidRPr="00CC0C91" w:rsidRDefault="005A337D" w:rsidP="00655AB8">
      <w:pPr>
        <w:spacing w:after="0" w:line="240" w:lineRule="auto"/>
        <w:ind w:left="360" w:hanging="360"/>
        <w:rPr>
          <w:rFonts w:ascii="Arial" w:eastAsia="SimSun" w:hAnsi="Arial" w:cs="Arial"/>
          <w:bCs/>
          <w:sz w:val="24"/>
          <w:szCs w:val="24"/>
          <w:lang w:eastAsia="en-US"/>
        </w:rPr>
      </w:pPr>
    </w:p>
    <w:p w14:paraId="162AED60" w14:textId="77777777" w:rsidR="00D82784" w:rsidRPr="00CC0C91" w:rsidRDefault="00A22CE4" w:rsidP="00B82C75">
      <w:pPr>
        <w:spacing w:after="0" w:line="240" w:lineRule="auto"/>
        <w:outlineLvl w:val="3"/>
        <w:rPr>
          <w:rFonts w:ascii="Arial" w:hAnsi="Arial" w:cs="Arial"/>
          <w:b/>
          <w:sz w:val="24"/>
          <w:szCs w:val="24"/>
          <w:u w:val="single"/>
        </w:rPr>
      </w:pPr>
      <w:r w:rsidRPr="00CC0C91">
        <w:rPr>
          <w:rFonts w:ascii="Arial" w:hAnsi="Arial" w:cs="Arial"/>
          <w:b/>
          <w:sz w:val="24"/>
          <w:szCs w:val="24"/>
          <w:u w:val="single"/>
        </w:rPr>
        <w:t>Reporting Requirements</w:t>
      </w:r>
    </w:p>
    <w:p w14:paraId="07E14216" w14:textId="77777777" w:rsidR="00AE7573" w:rsidRPr="00CC0C91" w:rsidRDefault="00AE7573" w:rsidP="004C797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7B10109" w14:textId="77777777" w:rsidR="004C7974" w:rsidRPr="00CC0C91" w:rsidRDefault="00AE7573" w:rsidP="004C79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lastRenderedPageBreak/>
        <w:t>Sacramento County MHP must report all continuity of care requests and approvals to DHCS with the quarterly network adequacy submissions.  The continuity of care report must include:</w:t>
      </w:r>
    </w:p>
    <w:p w14:paraId="0C819535" w14:textId="77777777" w:rsidR="00AE7573" w:rsidRPr="00CC0C91" w:rsidRDefault="00AE7573" w:rsidP="00AE757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t>The date of the request</w:t>
      </w:r>
    </w:p>
    <w:p w14:paraId="6245CB0C" w14:textId="77777777" w:rsidR="00AE7573" w:rsidRPr="00CC0C91" w:rsidRDefault="00AE7573" w:rsidP="00AE757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t>The beneficiary’s name</w:t>
      </w:r>
    </w:p>
    <w:p w14:paraId="2A8B7F6D" w14:textId="77777777" w:rsidR="00AE7573" w:rsidRPr="00CC0C91" w:rsidRDefault="00AE7573" w:rsidP="00AE757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t>The name of the beneficiary’s pre-existing provider</w:t>
      </w:r>
    </w:p>
    <w:p w14:paraId="44A439EF" w14:textId="77777777" w:rsidR="008C3392" w:rsidRPr="00CC0C91" w:rsidRDefault="008C3392" w:rsidP="00AE757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t xml:space="preserve">The address/location of the provider’s office </w:t>
      </w:r>
    </w:p>
    <w:p w14:paraId="6B4F6EA6" w14:textId="77777777" w:rsidR="008C3392" w:rsidRPr="00CC0C91" w:rsidRDefault="009E169F" w:rsidP="00AE757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Whether the provider </w:t>
      </w:r>
      <w:r w:rsidR="008C3392" w:rsidRPr="00CC0C91">
        <w:rPr>
          <w:rFonts w:ascii="Arial" w:hAnsi="Arial" w:cs="Arial"/>
          <w:sz w:val="24"/>
          <w:szCs w:val="24"/>
        </w:rPr>
        <w:t>agreed to the MHP’s terms and conditions</w:t>
      </w:r>
    </w:p>
    <w:p w14:paraId="6154B490" w14:textId="77777777" w:rsidR="008C3392" w:rsidRPr="00CC0C91" w:rsidRDefault="008C3392" w:rsidP="00AE757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t xml:space="preserve">The status of the request, including the deadline for </w:t>
      </w:r>
      <w:proofErr w:type="gramStart"/>
      <w:r w:rsidRPr="00CC0C91">
        <w:rPr>
          <w:rFonts w:ascii="Arial" w:hAnsi="Arial" w:cs="Arial"/>
          <w:sz w:val="24"/>
          <w:szCs w:val="24"/>
        </w:rPr>
        <w:t>making a decision</w:t>
      </w:r>
      <w:proofErr w:type="gramEnd"/>
      <w:r w:rsidRPr="00CC0C91">
        <w:rPr>
          <w:rFonts w:ascii="Arial" w:hAnsi="Arial" w:cs="Arial"/>
          <w:sz w:val="24"/>
          <w:szCs w:val="24"/>
        </w:rPr>
        <w:t xml:space="preserve"> regarding the beneficiary’s request.</w:t>
      </w:r>
    </w:p>
    <w:p w14:paraId="099FE5A3" w14:textId="77777777" w:rsidR="00AE7573" w:rsidRPr="00CC0C91" w:rsidRDefault="00AE7573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95237" w14:textId="77777777" w:rsidR="001E687A" w:rsidRPr="00CC0C91" w:rsidRDefault="00DF3272" w:rsidP="00B82C75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REFERENCE(S)/ATTACHMENTS:</w:t>
      </w:r>
    </w:p>
    <w:p w14:paraId="7013E411" w14:textId="77777777" w:rsidR="001123C2" w:rsidRPr="00CC0C91" w:rsidRDefault="001123C2" w:rsidP="001123C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t xml:space="preserve">42 CFR § 438.62 </w:t>
      </w:r>
    </w:p>
    <w:p w14:paraId="46214315" w14:textId="77777777" w:rsidR="00030F87" w:rsidRDefault="00202A2B" w:rsidP="001123C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DHCS </w:t>
      </w:r>
      <w:r w:rsidR="00030F87" w:rsidRPr="00CC0C91">
        <w:rPr>
          <w:rFonts w:ascii="Arial" w:hAnsi="Arial" w:cs="Arial"/>
          <w:sz w:val="24"/>
          <w:szCs w:val="24"/>
        </w:rPr>
        <w:t>MHSUDS Information Notice No</w:t>
      </w:r>
      <w:r w:rsidR="009E169F">
        <w:rPr>
          <w:rFonts w:ascii="Arial" w:hAnsi="Arial" w:cs="Arial"/>
          <w:sz w:val="24"/>
          <w:szCs w:val="24"/>
        </w:rPr>
        <w:t>.</w:t>
      </w:r>
      <w:r w:rsidR="00030F87" w:rsidRPr="00CC0C91">
        <w:rPr>
          <w:rFonts w:ascii="Arial" w:hAnsi="Arial" w:cs="Arial"/>
          <w:sz w:val="24"/>
          <w:szCs w:val="24"/>
        </w:rPr>
        <w:t>:18-059</w:t>
      </w:r>
    </w:p>
    <w:p w14:paraId="05174D7B" w14:textId="77777777" w:rsidR="009E169F" w:rsidRPr="00CC0C91" w:rsidRDefault="00202A2B" w:rsidP="001123C2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DHCS </w:t>
      </w:r>
      <w:r w:rsidR="009E169F">
        <w:rPr>
          <w:rFonts w:ascii="Arial" w:hAnsi="Arial" w:cs="Arial"/>
          <w:sz w:val="24"/>
          <w:szCs w:val="24"/>
        </w:rPr>
        <w:t>MHSUDS Information Notice No.: 18-010E</w:t>
      </w:r>
    </w:p>
    <w:p w14:paraId="6A041AC8" w14:textId="77777777" w:rsidR="004C7974" w:rsidRPr="00CC0C91" w:rsidRDefault="004C7974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846637" w14:textId="77777777" w:rsidR="001E687A" w:rsidRPr="00CC0C91" w:rsidRDefault="00DF3272" w:rsidP="00B82C75">
      <w:pPr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RELATED POLICIES:</w:t>
      </w:r>
    </w:p>
    <w:p w14:paraId="0452139E" w14:textId="77777777" w:rsidR="00593720" w:rsidRPr="00981A93" w:rsidRDefault="009B7217" w:rsidP="00CA4536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81A93">
        <w:rPr>
          <w:rFonts w:ascii="Arial" w:hAnsi="Arial" w:cs="Arial"/>
          <w:sz w:val="24"/>
          <w:szCs w:val="24"/>
        </w:rPr>
        <w:t xml:space="preserve">PP-BHS-QM-02-01 Notice </w:t>
      </w:r>
      <w:proofErr w:type="gramStart"/>
      <w:r w:rsidRPr="00981A93">
        <w:rPr>
          <w:rFonts w:ascii="Arial" w:hAnsi="Arial" w:cs="Arial"/>
          <w:sz w:val="24"/>
          <w:szCs w:val="24"/>
        </w:rPr>
        <w:t>Of</w:t>
      </w:r>
      <w:proofErr w:type="gramEnd"/>
      <w:r w:rsidRPr="00981A93">
        <w:rPr>
          <w:rFonts w:ascii="Arial" w:hAnsi="Arial" w:cs="Arial"/>
          <w:sz w:val="24"/>
          <w:szCs w:val="24"/>
        </w:rPr>
        <w:t xml:space="preserve"> Adverse Benefit Determination</w:t>
      </w:r>
    </w:p>
    <w:p w14:paraId="5BC73A63" w14:textId="77777777" w:rsidR="00593720" w:rsidRPr="00CC0C91" w:rsidRDefault="00593720" w:rsidP="00593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17C554" w14:textId="77777777" w:rsidR="001E687A" w:rsidRPr="00CC0C91" w:rsidRDefault="00DF3272" w:rsidP="00B82C75">
      <w:pPr>
        <w:spacing w:after="0" w:line="240" w:lineRule="auto"/>
        <w:outlineLvl w:val="2"/>
        <w:rPr>
          <w:rFonts w:ascii="Arial" w:hAnsi="Arial" w:cs="Arial"/>
          <w:b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DISTRIBUTION:</w:t>
      </w:r>
    </w:p>
    <w:p w14:paraId="7BF9E76D" w14:textId="77777777" w:rsidR="00C26FB2" w:rsidRPr="00CC0C91" w:rsidRDefault="00C26FB2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3537"/>
        <w:gridCol w:w="1143"/>
        <w:gridCol w:w="3483"/>
      </w:tblGrid>
      <w:tr w:rsidR="00C26FB2" w:rsidRPr="006F0EFD" w14:paraId="69775C70" w14:textId="77777777" w:rsidTr="003018EC">
        <w:tc>
          <w:tcPr>
            <w:tcW w:w="1080" w:type="dxa"/>
          </w:tcPr>
          <w:p w14:paraId="3D303E7A" w14:textId="77777777" w:rsidR="00C26FB2" w:rsidRPr="00CC0C91" w:rsidRDefault="00C26FB2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Enter X</w:t>
            </w:r>
          </w:p>
        </w:tc>
        <w:tc>
          <w:tcPr>
            <w:tcW w:w="3537" w:type="dxa"/>
          </w:tcPr>
          <w:p w14:paraId="7ED9AE26" w14:textId="77777777" w:rsidR="00C26FB2" w:rsidRPr="00CC0C91" w:rsidRDefault="00C26FB2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DL Name</w:t>
            </w:r>
          </w:p>
        </w:tc>
        <w:tc>
          <w:tcPr>
            <w:tcW w:w="1143" w:type="dxa"/>
          </w:tcPr>
          <w:p w14:paraId="7FFAF437" w14:textId="77777777" w:rsidR="00C26FB2" w:rsidRPr="00CC0C91" w:rsidRDefault="00C26FB2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Enter X</w:t>
            </w:r>
          </w:p>
        </w:tc>
        <w:tc>
          <w:tcPr>
            <w:tcW w:w="3483" w:type="dxa"/>
          </w:tcPr>
          <w:p w14:paraId="5977F178" w14:textId="77777777" w:rsidR="00C26FB2" w:rsidRPr="00CC0C91" w:rsidRDefault="00C26FB2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DL Name</w:t>
            </w:r>
          </w:p>
        </w:tc>
      </w:tr>
      <w:tr w:rsidR="00C26FB2" w:rsidRPr="006F0EFD" w14:paraId="23A8B154" w14:textId="77777777" w:rsidTr="003018EC">
        <w:tc>
          <w:tcPr>
            <w:tcW w:w="1080" w:type="dxa"/>
          </w:tcPr>
          <w:p w14:paraId="23221858" w14:textId="77777777" w:rsidR="00C26FB2" w:rsidRPr="00CC0C91" w:rsidRDefault="003018EC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537" w:type="dxa"/>
          </w:tcPr>
          <w:p w14:paraId="6E0CB1C5" w14:textId="77777777" w:rsidR="00C26FB2" w:rsidRPr="00CC0C91" w:rsidRDefault="003018EC" w:rsidP="004C7974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/>
                <w:sz w:val="24"/>
                <w:szCs w:val="24"/>
              </w:rPr>
              <w:t>Mental Health Staff</w:t>
            </w:r>
          </w:p>
        </w:tc>
        <w:tc>
          <w:tcPr>
            <w:tcW w:w="1143" w:type="dxa"/>
          </w:tcPr>
          <w:p w14:paraId="780CCF8B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</w:tcPr>
          <w:p w14:paraId="1E8306CD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FB2" w:rsidRPr="006F0EFD" w14:paraId="444C79C7" w14:textId="77777777" w:rsidTr="003018EC">
        <w:tc>
          <w:tcPr>
            <w:tcW w:w="1080" w:type="dxa"/>
          </w:tcPr>
          <w:p w14:paraId="19A7A89A" w14:textId="77777777" w:rsidR="00C26FB2" w:rsidRPr="00CC0C91" w:rsidRDefault="003018EC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537" w:type="dxa"/>
          </w:tcPr>
          <w:p w14:paraId="4FFBE18E" w14:textId="77777777" w:rsidR="00C26FB2" w:rsidRPr="00CC0C91" w:rsidRDefault="003018EC" w:rsidP="004C7974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/>
                <w:sz w:val="24"/>
                <w:szCs w:val="24"/>
              </w:rPr>
              <w:t>Adult Contract Providers</w:t>
            </w:r>
          </w:p>
        </w:tc>
        <w:tc>
          <w:tcPr>
            <w:tcW w:w="1143" w:type="dxa"/>
          </w:tcPr>
          <w:p w14:paraId="0D08D49D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</w:tcPr>
          <w:p w14:paraId="26D13E37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FB2" w:rsidRPr="006F0EFD" w14:paraId="6AC8926B" w14:textId="77777777" w:rsidTr="003018EC">
        <w:tc>
          <w:tcPr>
            <w:tcW w:w="1080" w:type="dxa"/>
          </w:tcPr>
          <w:p w14:paraId="44E8B12B" w14:textId="77777777" w:rsidR="00C26FB2" w:rsidRPr="00CC0C91" w:rsidRDefault="003018EC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537" w:type="dxa"/>
          </w:tcPr>
          <w:p w14:paraId="2DE18B59" w14:textId="77777777" w:rsidR="00C26FB2" w:rsidRPr="00CC0C91" w:rsidRDefault="003018EC" w:rsidP="004C7974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/>
                <w:sz w:val="24"/>
                <w:szCs w:val="24"/>
              </w:rPr>
              <w:t>Children’s Contract Providers</w:t>
            </w:r>
          </w:p>
        </w:tc>
        <w:tc>
          <w:tcPr>
            <w:tcW w:w="1143" w:type="dxa"/>
          </w:tcPr>
          <w:p w14:paraId="40ABAF2C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</w:tcPr>
          <w:p w14:paraId="156BFCA9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FB2" w:rsidRPr="006F0EFD" w14:paraId="45142004" w14:textId="77777777" w:rsidTr="003018EC">
        <w:tc>
          <w:tcPr>
            <w:tcW w:w="1080" w:type="dxa"/>
          </w:tcPr>
          <w:p w14:paraId="2BA60776" w14:textId="77777777" w:rsidR="00C26FB2" w:rsidRPr="00CC0C91" w:rsidRDefault="003018EC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537" w:type="dxa"/>
          </w:tcPr>
          <w:p w14:paraId="1B79059F" w14:textId="77777777" w:rsidR="00C26FB2" w:rsidRPr="00CC0C91" w:rsidRDefault="00965892" w:rsidP="004C79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Substance Use Prevention and Treatment </w:t>
            </w:r>
            <w:r w:rsidR="003018EC" w:rsidRPr="00CC0C91">
              <w:rPr>
                <w:rFonts w:ascii="Arial" w:hAnsi="Arial"/>
                <w:sz w:val="24"/>
                <w:szCs w:val="24"/>
              </w:rPr>
              <w:t>Services</w:t>
            </w:r>
          </w:p>
        </w:tc>
        <w:tc>
          <w:tcPr>
            <w:tcW w:w="1143" w:type="dxa"/>
          </w:tcPr>
          <w:p w14:paraId="0CD970BE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</w:tcPr>
          <w:p w14:paraId="0CC6E38C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FB2" w:rsidRPr="006F0EFD" w14:paraId="3E851F44" w14:textId="77777777" w:rsidTr="003018EC">
        <w:tc>
          <w:tcPr>
            <w:tcW w:w="1080" w:type="dxa"/>
          </w:tcPr>
          <w:p w14:paraId="301D0F19" w14:textId="77777777" w:rsidR="00C26FB2" w:rsidRPr="00CC0C91" w:rsidRDefault="003018EC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0C91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537" w:type="dxa"/>
          </w:tcPr>
          <w:p w14:paraId="65D8FD28" w14:textId="77777777" w:rsidR="00C26FB2" w:rsidRPr="00CC0C91" w:rsidRDefault="003018EC" w:rsidP="004C7974">
            <w:pPr>
              <w:rPr>
                <w:rFonts w:ascii="Arial" w:hAnsi="Arial" w:cs="Arial"/>
                <w:sz w:val="24"/>
                <w:szCs w:val="24"/>
              </w:rPr>
            </w:pPr>
            <w:r w:rsidRPr="00CC0C91">
              <w:rPr>
                <w:rFonts w:ascii="Arial" w:hAnsi="Arial"/>
                <w:sz w:val="24"/>
                <w:szCs w:val="24"/>
              </w:rPr>
              <w:t>Specific grant/specialty resource</w:t>
            </w:r>
          </w:p>
        </w:tc>
        <w:tc>
          <w:tcPr>
            <w:tcW w:w="1143" w:type="dxa"/>
          </w:tcPr>
          <w:p w14:paraId="5074E7E2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</w:tcPr>
          <w:p w14:paraId="2FF0A8B6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FB2" w:rsidRPr="006F0EFD" w14:paraId="17298DAE" w14:textId="77777777" w:rsidTr="003018EC">
        <w:tc>
          <w:tcPr>
            <w:tcW w:w="1080" w:type="dxa"/>
          </w:tcPr>
          <w:p w14:paraId="140D42AE" w14:textId="77777777" w:rsidR="00C26FB2" w:rsidRPr="00CC0C91" w:rsidRDefault="00C26FB2" w:rsidP="004C7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37" w:type="dxa"/>
          </w:tcPr>
          <w:p w14:paraId="5BC3D1EB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</w:tcPr>
          <w:p w14:paraId="025913DE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3" w:type="dxa"/>
          </w:tcPr>
          <w:p w14:paraId="2E5BE9EA" w14:textId="77777777" w:rsidR="00C26FB2" w:rsidRPr="00CC0C91" w:rsidRDefault="00C26FB2" w:rsidP="004C79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D0442" w14:textId="77777777" w:rsidR="004C7974" w:rsidRPr="00CC0C91" w:rsidRDefault="004C7974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092CB8" w14:textId="77777777" w:rsidR="005B6A11" w:rsidRPr="00CC0C91" w:rsidRDefault="004C7974" w:rsidP="00B82C75">
      <w:pPr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 w:rsidRPr="00CC0C91">
        <w:rPr>
          <w:rFonts w:ascii="Arial" w:hAnsi="Arial" w:cs="Arial"/>
          <w:b/>
          <w:sz w:val="24"/>
          <w:szCs w:val="24"/>
        </w:rPr>
        <w:t>CONTACT INFORMATION:</w:t>
      </w:r>
    </w:p>
    <w:p w14:paraId="5D057964" w14:textId="77777777" w:rsidR="004C7974" w:rsidRPr="00CC0C91" w:rsidRDefault="004C7974" w:rsidP="004C79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0ED668" w14:textId="77777777" w:rsidR="003018EC" w:rsidRPr="00CC0C91" w:rsidRDefault="0093597C" w:rsidP="003018EC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C0C91">
        <w:rPr>
          <w:rFonts w:ascii="Arial" w:hAnsi="Arial" w:cs="Arial"/>
          <w:sz w:val="24"/>
          <w:szCs w:val="24"/>
        </w:rPr>
        <w:t xml:space="preserve">Quality Management Information </w:t>
      </w:r>
    </w:p>
    <w:p w14:paraId="72442EE4" w14:textId="14695C2D" w:rsidR="003018EC" w:rsidRPr="00CC0C91" w:rsidRDefault="003018EC" w:rsidP="003018EC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hyperlink r:id="rId13" w:tooltip="send email to quality management" w:history="1">
        <w:r w:rsidRPr="00CC0C91">
          <w:rPr>
            <w:rStyle w:val="Hyperlink"/>
            <w:rFonts w:ascii="Arial" w:hAnsi="Arial"/>
            <w:sz w:val="24"/>
            <w:szCs w:val="24"/>
          </w:rPr>
          <w:t>QMInformation@SacCounty.net</w:t>
        </w:r>
      </w:hyperlink>
    </w:p>
    <w:sectPr w:rsidR="003018EC" w:rsidRPr="00CC0C91" w:rsidSect="002A3E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166" w:bottom="720" w:left="1166" w:header="720" w:footer="3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8A3D" w14:textId="77777777" w:rsidR="00AE46AD" w:rsidRDefault="00AE46AD" w:rsidP="00C26FB2">
      <w:pPr>
        <w:spacing w:after="0" w:line="240" w:lineRule="auto"/>
      </w:pPr>
      <w:r>
        <w:separator/>
      </w:r>
    </w:p>
  </w:endnote>
  <w:endnote w:type="continuationSeparator" w:id="0">
    <w:p w14:paraId="598A3AC8" w14:textId="77777777" w:rsidR="00AE46AD" w:rsidRDefault="00AE46AD" w:rsidP="00C2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4DC7" w14:textId="77777777" w:rsidR="002A3EF9" w:rsidRDefault="002A3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E658" w14:textId="77777777" w:rsidR="009F7551" w:rsidRPr="00593720" w:rsidRDefault="0068686C">
    <w:pPr>
      <w:pStyle w:val="Footer"/>
      <w:rPr>
        <w:rFonts w:ascii="Arial" w:hAnsi="Arial" w:cs="Arial"/>
        <w:sz w:val="12"/>
        <w:szCs w:val="12"/>
      </w:rPr>
    </w:pPr>
    <w:r w:rsidRPr="0068686C">
      <w:rPr>
        <w:rFonts w:ascii="Arial" w:hAnsi="Arial" w:cs="Arial"/>
        <w:sz w:val="12"/>
        <w:szCs w:val="12"/>
      </w:rPr>
      <w:t>PP-BHS-QM-02-03</w:t>
    </w:r>
    <w:r w:rsidR="00593720" w:rsidRPr="0068686C">
      <w:rPr>
        <w:rFonts w:ascii="Arial" w:hAnsi="Arial" w:cs="Arial"/>
        <w:sz w:val="12"/>
        <w:szCs w:val="12"/>
      </w:rPr>
      <w:t>-</w:t>
    </w:r>
    <w:r w:rsidRPr="0068686C">
      <w:rPr>
        <w:rFonts w:ascii="Arial" w:hAnsi="Arial" w:cs="Arial"/>
        <w:sz w:val="12"/>
        <w:szCs w:val="12"/>
      </w:rPr>
      <w:t>CONTINUTIY OF CARE 12-28-2020</w:t>
    </w:r>
    <w:r w:rsidR="002A3EF9">
      <w:rPr>
        <w:rFonts w:ascii="Arial" w:hAnsi="Arial" w:cs="Arial"/>
        <w:sz w:val="12"/>
        <w:szCs w:val="12"/>
      </w:rPr>
      <w:tab/>
    </w:r>
    <w:r w:rsidR="002A3EF9">
      <w:rPr>
        <w:rFonts w:ascii="Arial" w:hAnsi="Arial" w:cs="Arial"/>
        <w:sz w:val="12"/>
        <w:szCs w:val="12"/>
      </w:rPr>
      <w:tab/>
    </w:r>
    <w:r w:rsidR="00560F46" w:rsidRPr="00B82C75">
      <w:rPr>
        <w:rFonts w:ascii="Arial" w:hAnsi="Arial" w:cs="Arial"/>
        <w:spacing w:val="60"/>
        <w:sz w:val="12"/>
        <w:szCs w:val="12"/>
      </w:rPr>
      <w:t>Page</w:t>
    </w:r>
    <w:r w:rsidR="00560F46" w:rsidRPr="00560F46">
      <w:rPr>
        <w:rFonts w:ascii="Arial" w:hAnsi="Arial" w:cs="Arial"/>
        <w:sz w:val="12"/>
        <w:szCs w:val="12"/>
      </w:rPr>
      <w:t xml:space="preserve"> | </w:t>
    </w:r>
    <w:r w:rsidR="00560F46" w:rsidRPr="00560F46">
      <w:rPr>
        <w:rFonts w:ascii="Arial" w:hAnsi="Arial" w:cs="Arial"/>
        <w:sz w:val="12"/>
        <w:szCs w:val="12"/>
      </w:rPr>
      <w:fldChar w:fldCharType="begin"/>
    </w:r>
    <w:r w:rsidR="00560F46" w:rsidRPr="00560F46">
      <w:rPr>
        <w:rFonts w:ascii="Arial" w:hAnsi="Arial" w:cs="Arial"/>
        <w:sz w:val="12"/>
        <w:szCs w:val="12"/>
      </w:rPr>
      <w:instrText xml:space="preserve"> PAGE   \* MERGEFORMAT </w:instrText>
    </w:r>
    <w:r w:rsidR="00560F46" w:rsidRPr="00560F46">
      <w:rPr>
        <w:rFonts w:ascii="Arial" w:hAnsi="Arial" w:cs="Arial"/>
        <w:sz w:val="12"/>
        <w:szCs w:val="12"/>
      </w:rPr>
      <w:fldChar w:fldCharType="separate"/>
    </w:r>
    <w:r w:rsidR="00785589" w:rsidRPr="00785589">
      <w:rPr>
        <w:rFonts w:ascii="Arial" w:hAnsi="Arial" w:cs="Arial"/>
        <w:b/>
        <w:bCs/>
        <w:noProof/>
        <w:sz w:val="12"/>
        <w:szCs w:val="12"/>
      </w:rPr>
      <w:t>5</w:t>
    </w:r>
    <w:r w:rsidR="00560F46" w:rsidRPr="00560F46">
      <w:rPr>
        <w:rFonts w:ascii="Arial" w:hAnsi="Arial" w:cs="Arial"/>
        <w:b/>
        <w:bCs/>
        <w:noProof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139C" w14:textId="77777777" w:rsidR="002A3EF9" w:rsidRDefault="002A3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67D2" w14:textId="77777777" w:rsidR="00AE46AD" w:rsidRDefault="00AE46AD" w:rsidP="00C26FB2">
      <w:pPr>
        <w:spacing w:after="0" w:line="240" w:lineRule="auto"/>
      </w:pPr>
      <w:r>
        <w:separator/>
      </w:r>
    </w:p>
  </w:footnote>
  <w:footnote w:type="continuationSeparator" w:id="0">
    <w:p w14:paraId="429AF24B" w14:textId="77777777" w:rsidR="00AE46AD" w:rsidRDefault="00AE46AD" w:rsidP="00C2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0D28" w14:textId="77777777" w:rsidR="002A3EF9" w:rsidRDefault="002A3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B91C" w14:textId="77777777" w:rsidR="002A3EF9" w:rsidRDefault="002A3E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117D" w14:textId="77777777" w:rsidR="002A3EF9" w:rsidRDefault="002A3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D31"/>
    <w:multiLevelType w:val="hybridMultilevel"/>
    <w:tmpl w:val="B3600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496C"/>
    <w:multiLevelType w:val="hybridMultilevel"/>
    <w:tmpl w:val="4226386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3671A"/>
    <w:multiLevelType w:val="hybridMultilevel"/>
    <w:tmpl w:val="95F44F2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3F2AEC"/>
    <w:multiLevelType w:val="hybridMultilevel"/>
    <w:tmpl w:val="DF98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45B6"/>
    <w:multiLevelType w:val="hybridMultilevel"/>
    <w:tmpl w:val="60D89D2A"/>
    <w:lvl w:ilvl="0" w:tplc="ABA0C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59F1"/>
    <w:multiLevelType w:val="hybridMultilevel"/>
    <w:tmpl w:val="7242BFC2"/>
    <w:lvl w:ilvl="0" w:tplc="F4A85D9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9978A7"/>
    <w:multiLevelType w:val="hybridMultilevel"/>
    <w:tmpl w:val="4DF4E634"/>
    <w:lvl w:ilvl="0" w:tplc="91C498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4805BB"/>
    <w:multiLevelType w:val="hybridMultilevel"/>
    <w:tmpl w:val="2542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2D15"/>
    <w:multiLevelType w:val="hybridMultilevel"/>
    <w:tmpl w:val="956A9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90D4D"/>
    <w:multiLevelType w:val="hybridMultilevel"/>
    <w:tmpl w:val="F87420E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20077A0"/>
    <w:multiLevelType w:val="hybridMultilevel"/>
    <w:tmpl w:val="08B8F4E6"/>
    <w:lvl w:ilvl="0" w:tplc="A4F01078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45F3"/>
    <w:multiLevelType w:val="hybridMultilevel"/>
    <w:tmpl w:val="7430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4348"/>
    <w:multiLevelType w:val="hybridMultilevel"/>
    <w:tmpl w:val="3ABA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0612"/>
    <w:multiLevelType w:val="hybridMultilevel"/>
    <w:tmpl w:val="E9C8367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4DC60CA"/>
    <w:multiLevelType w:val="hybridMultilevel"/>
    <w:tmpl w:val="041E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A658C"/>
    <w:multiLevelType w:val="hybridMultilevel"/>
    <w:tmpl w:val="2D9E635C"/>
    <w:lvl w:ilvl="0" w:tplc="46384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3409FA"/>
    <w:multiLevelType w:val="hybridMultilevel"/>
    <w:tmpl w:val="D5686E86"/>
    <w:lvl w:ilvl="0" w:tplc="56C2C1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4A85D9E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73475E6"/>
    <w:multiLevelType w:val="hybridMultilevel"/>
    <w:tmpl w:val="A26EC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62519"/>
    <w:multiLevelType w:val="hybridMultilevel"/>
    <w:tmpl w:val="C77EA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8799D"/>
    <w:multiLevelType w:val="hybridMultilevel"/>
    <w:tmpl w:val="EB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456462">
    <w:abstractNumId w:val="1"/>
  </w:num>
  <w:num w:numId="2" w16cid:durableId="1117678467">
    <w:abstractNumId w:val="2"/>
  </w:num>
  <w:num w:numId="3" w16cid:durableId="57900255">
    <w:abstractNumId w:val="18"/>
  </w:num>
  <w:num w:numId="4" w16cid:durableId="454298332">
    <w:abstractNumId w:val="6"/>
  </w:num>
  <w:num w:numId="5" w16cid:durableId="375350329">
    <w:abstractNumId w:val="4"/>
  </w:num>
  <w:num w:numId="6" w16cid:durableId="204568459">
    <w:abstractNumId w:val="13"/>
  </w:num>
  <w:num w:numId="7" w16cid:durableId="1441411021">
    <w:abstractNumId w:val="9"/>
  </w:num>
  <w:num w:numId="8" w16cid:durableId="715588177">
    <w:abstractNumId w:val="16"/>
  </w:num>
  <w:num w:numId="9" w16cid:durableId="560293178">
    <w:abstractNumId w:val="5"/>
  </w:num>
  <w:num w:numId="10" w16cid:durableId="291178324">
    <w:abstractNumId w:val="11"/>
  </w:num>
  <w:num w:numId="11" w16cid:durableId="758867493">
    <w:abstractNumId w:val="3"/>
  </w:num>
  <w:num w:numId="12" w16cid:durableId="1043285242">
    <w:abstractNumId w:val="12"/>
  </w:num>
  <w:num w:numId="13" w16cid:durableId="1672294461">
    <w:abstractNumId w:val="14"/>
  </w:num>
  <w:num w:numId="14" w16cid:durableId="1948350975">
    <w:abstractNumId w:val="8"/>
  </w:num>
  <w:num w:numId="15" w16cid:durableId="2143384046">
    <w:abstractNumId w:val="17"/>
  </w:num>
  <w:num w:numId="16" w16cid:durableId="1640964280">
    <w:abstractNumId w:val="19"/>
  </w:num>
  <w:num w:numId="17" w16cid:durableId="1628198640">
    <w:abstractNumId w:val="15"/>
  </w:num>
  <w:num w:numId="18" w16cid:durableId="1158300747">
    <w:abstractNumId w:val="0"/>
  </w:num>
  <w:num w:numId="19" w16cid:durableId="1351177431">
    <w:abstractNumId w:val="10"/>
  </w:num>
  <w:num w:numId="20" w16cid:durableId="136342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E0"/>
    <w:rsid w:val="000260E0"/>
    <w:rsid w:val="00027810"/>
    <w:rsid w:val="00030F87"/>
    <w:rsid w:val="000604FB"/>
    <w:rsid w:val="00067A00"/>
    <w:rsid w:val="00072F3E"/>
    <w:rsid w:val="00091714"/>
    <w:rsid w:val="00095028"/>
    <w:rsid w:val="000A7F60"/>
    <w:rsid w:val="000B2787"/>
    <w:rsid w:val="000B6EB5"/>
    <w:rsid w:val="000E1AB6"/>
    <w:rsid w:val="000E3EDB"/>
    <w:rsid w:val="000F74C1"/>
    <w:rsid w:val="001123C2"/>
    <w:rsid w:val="0014320E"/>
    <w:rsid w:val="00144178"/>
    <w:rsid w:val="001637DB"/>
    <w:rsid w:val="00186C8C"/>
    <w:rsid w:val="001C5AC9"/>
    <w:rsid w:val="001D0753"/>
    <w:rsid w:val="001E0D54"/>
    <w:rsid w:val="001E687A"/>
    <w:rsid w:val="00202A2B"/>
    <w:rsid w:val="00215BF5"/>
    <w:rsid w:val="002544F0"/>
    <w:rsid w:val="00294408"/>
    <w:rsid w:val="002A3EF9"/>
    <w:rsid w:val="002B17F4"/>
    <w:rsid w:val="003018EC"/>
    <w:rsid w:val="003136B8"/>
    <w:rsid w:val="0032435E"/>
    <w:rsid w:val="003337A3"/>
    <w:rsid w:val="00346E51"/>
    <w:rsid w:val="00353908"/>
    <w:rsid w:val="00371056"/>
    <w:rsid w:val="0037245F"/>
    <w:rsid w:val="00384437"/>
    <w:rsid w:val="00392233"/>
    <w:rsid w:val="0039293F"/>
    <w:rsid w:val="0039595B"/>
    <w:rsid w:val="003B0541"/>
    <w:rsid w:val="003C443E"/>
    <w:rsid w:val="003E0C5B"/>
    <w:rsid w:val="003E51FE"/>
    <w:rsid w:val="003F2DFB"/>
    <w:rsid w:val="003F31E8"/>
    <w:rsid w:val="003F6B16"/>
    <w:rsid w:val="004110AF"/>
    <w:rsid w:val="00411199"/>
    <w:rsid w:val="004510BB"/>
    <w:rsid w:val="00453EB9"/>
    <w:rsid w:val="00476085"/>
    <w:rsid w:val="0048774B"/>
    <w:rsid w:val="00492070"/>
    <w:rsid w:val="004B251F"/>
    <w:rsid w:val="004C7974"/>
    <w:rsid w:val="004E557D"/>
    <w:rsid w:val="004F6F86"/>
    <w:rsid w:val="0051401D"/>
    <w:rsid w:val="00535070"/>
    <w:rsid w:val="00545C39"/>
    <w:rsid w:val="00560F46"/>
    <w:rsid w:val="00565247"/>
    <w:rsid w:val="00572497"/>
    <w:rsid w:val="00572EA0"/>
    <w:rsid w:val="005873E1"/>
    <w:rsid w:val="0059003F"/>
    <w:rsid w:val="00593720"/>
    <w:rsid w:val="005A0AE0"/>
    <w:rsid w:val="005A1AF9"/>
    <w:rsid w:val="005A337D"/>
    <w:rsid w:val="005A3632"/>
    <w:rsid w:val="005B3676"/>
    <w:rsid w:val="005B6A11"/>
    <w:rsid w:val="005F4802"/>
    <w:rsid w:val="005F7B83"/>
    <w:rsid w:val="00602B65"/>
    <w:rsid w:val="0060676A"/>
    <w:rsid w:val="0062211A"/>
    <w:rsid w:val="00632472"/>
    <w:rsid w:val="0063600C"/>
    <w:rsid w:val="0065052D"/>
    <w:rsid w:val="00655AB8"/>
    <w:rsid w:val="00660519"/>
    <w:rsid w:val="0068686C"/>
    <w:rsid w:val="00695E21"/>
    <w:rsid w:val="006E04B3"/>
    <w:rsid w:val="006F0EFD"/>
    <w:rsid w:val="007158F7"/>
    <w:rsid w:val="00731AA3"/>
    <w:rsid w:val="00731BD7"/>
    <w:rsid w:val="0074397C"/>
    <w:rsid w:val="0074410C"/>
    <w:rsid w:val="00762A6D"/>
    <w:rsid w:val="00781037"/>
    <w:rsid w:val="00781DCE"/>
    <w:rsid w:val="00785589"/>
    <w:rsid w:val="00790CA1"/>
    <w:rsid w:val="007A7015"/>
    <w:rsid w:val="007B119D"/>
    <w:rsid w:val="007C78DC"/>
    <w:rsid w:val="007D5565"/>
    <w:rsid w:val="007F547B"/>
    <w:rsid w:val="00800E7C"/>
    <w:rsid w:val="00823179"/>
    <w:rsid w:val="00835EF4"/>
    <w:rsid w:val="00847B42"/>
    <w:rsid w:val="008529C0"/>
    <w:rsid w:val="00856632"/>
    <w:rsid w:val="00857D37"/>
    <w:rsid w:val="008941AA"/>
    <w:rsid w:val="008C031B"/>
    <w:rsid w:val="008C3392"/>
    <w:rsid w:val="008D4D79"/>
    <w:rsid w:val="008E40BF"/>
    <w:rsid w:val="008F3EE2"/>
    <w:rsid w:val="00912DFB"/>
    <w:rsid w:val="00915758"/>
    <w:rsid w:val="00927128"/>
    <w:rsid w:val="00931402"/>
    <w:rsid w:val="0093226D"/>
    <w:rsid w:val="0093597C"/>
    <w:rsid w:val="00941B0D"/>
    <w:rsid w:val="0096077F"/>
    <w:rsid w:val="00965892"/>
    <w:rsid w:val="00974299"/>
    <w:rsid w:val="00981A93"/>
    <w:rsid w:val="009A3690"/>
    <w:rsid w:val="009B7217"/>
    <w:rsid w:val="009C749F"/>
    <w:rsid w:val="009E169F"/>
    <w:rsid w:val="009E41DD"/>
    <w:rsid w:val="009F7551"/>
    <w:rsid w:val="00A04982"/>
    <w:rsid w:val="00A10C5B"/>
    <w:rsid w:val="00A12217"/>
    <w:rsid w:val="00A22CE4"/>
    <w:rsid w:val="00A44BC0"/>
    <w:rsid w:val="00A63378"/>
    <w:rsid w:val="00A92BDD"/>
    <w:rsid w:val="00AC35A8"/>
    <w:rsid w:val="00AE46AD"/>
    <w:rsid w:val="00AE678D"/>
    <w:rsid w:val="00AE7573"/>
    <w:rsid w:val="00B15800"/>
    <w:rsid w:val="00B25BF1"/>
    <w:rsid w:val="00B43798"/>
    <w:rsid w:val="00B51485"/>
    <w:rsid w:val="00B82C75"/>
    <w:rsid w:val="00B9614E"/>
    <w:rsid w:val="00BC20EB"/>
    <w:rsid w:val="00BF72FB"/>
    <w:rsid w:val="00C25812"/>
    <w:rsid w:val="00C26FB2"/>
    <w:rsid w:val="00C33042"/>
    <w:rsid w:val="00C448FC"/>
    <w:rsid w:val="00C44F7B"/>
    <w:rsid w:val="00C5733C"/>
    <w:rsid w:val="00C72BB8"/>
    <w:rsid w:val="00C801E2"/>
    <w:rsid w:val="00C81725"/>
    <w:rsid w:val="00C857D1"/>
    <w:rsid w:val="00C92E19"/>
    <w:rsid w:val="00CA4536"/>
    <w:rsid w:val="00CA4B71"/>
    <w:rsid w:val="00CC0C91"/>
    <w:rsid w:val="00CC2CAB"/>
    <w:rsid w:val="00CC3CD2"/>
    <w:rsid w:val="00CC7971"/>
    <w:rsid w:val="00CD7DEB"/>
    <w:rsid w:val="00CE7E8B"/>
    <w:rsid w:val="00CF32B2"/>
    <w:rsid w:val="00D071C7"/>
    <w:rsid w:val="00D24316"/>
    <w:rsid w:val="00D3634D"/>
    <w:rsid w:val="00D4401A"/>
    <w:rsid w:val="00D509D4"/>
    <w:rsid w:val="00D82784"/>
    <w:rsid w:val="00D92CBD"/>
    <w:rsid w:val="00DC4688"/>
    <w:rsid w:val="00DC738E"/>
    <w:rsid w:val="00DF3272"/>
    <w:rsid w:val="00E1659A"/>
    <w:rsid w:val="00E165DA"/>
    <w:rsid w:val="00E21FED"/>
    <w:rsid w:val="00E513EA"/>
    <w:rsid w:val="00E5380D"/>
    <w:rsid w:val="00E55BB0"/>
    <w:rsid w:val="00E56709"/>
    <w:rsid w:val="00E636AD"/>
    <w:rsid w:val="00E87C97"/>
    <w:rsid w:val="00E91AC7"/>
    <w:rsid w:val="00EA3A60"/>
    <w:rsid w:val="00EB49E5"/>
    <w:rsid w:val="00EB55DB"/>
    <w:rsid w:val="00EC62E9"/>
    <w:rsid w:val="00ED6752"/>
    <w:rsid w:val="00EE4056"/>
    <w:rsid w:val="00F01585"/>
    <w:rsid w:val="00F11ED8"/>
    <w:rsid w:val="00F537B1"/>
    <w:rsid w:val="00F8269B"/>
    <w:rsid w:val="00F862B0"/>
    <w:rsid w:val="00F90B8F"/>
    <w:rsid w:val="00FB0D50"/>
    <w:rsid w:val="00FF359F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51353"/>
  <w15:docId w15:val="{8B10D547-DE70-4A7E-B061-A2FAAD9D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0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E68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B2"/>
  </w:style>
  <w:style w:type="paragraph" w:styleId="Footer">
    <w:name w:val="footer"/>
    <w:basedOn w:val="Normal"/>
    <w:link w:val="FooterChar"/>
    <w:uiPriority w:val="99"/>
    <w:unhideWhenUsed/>
    <w:rsid w:val="00C2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B2"/>
  </w:style>
  <w:style w:type="table" w:styleId="TableGrid">
    <w:name w:val="Table Grid"/>
    <w:basedOn w:val="TableNormal"/>
    <w:uiPriority w:val="59"/>
    <w:rsid w:val="00C26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4C7974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C7974"/>
    <w:rPr>
      <w:rFonts w:ascii="Arial" w:eastAsia="Times New Roman" w:hAnsi="Arial" w:cs="Arial"/>
      <w:b/>
      <w:bCs/>
      <w:sz w:val="3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C7974"/>
    <w:pPr>
      <w:ind w:left="720"/>
      <w:contextualSpacing/>
    </w:pPr>
  </w:style>
  <w:style w:type="paragraph" w:styleId="BlockText">
    <w:name w:val="Block Text"/>
    <w:basedOn w:val="Normal"/>
    <w:uiPriority w:val="99"/>
    <w:rsid w:val="00F90B8F"/>
    <w:pPr>
      <w:spacing w:after="120" w:line="240" w:lineRule="auto"/>
      <w:ind w:left="1440" w:right="144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1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AA3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82C75"/>
    <w:pPr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82C7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MInformation@SacCounty.ne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93</rca:property>
    <rca:property rca:type="SelectedPageField">2beb7de2-7724-4f10-b813-f70d1d4ccdb3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http://inside-qa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B2ECD6C979E4E9066555C6786BDE7" ma:contentTypeVersion="0" ma:contentTypeDescription="Create a new document." ma:contentTypeScope="" ma:versionID="d6fdf37187d1c83481930e1a48a91a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FA8B1-5C09-4D57-B67E-320ACDB7E904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CA434F0B-2E4F-47A3-8B43-B7D79B4F8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8FBC9F-57B2-4E50-9DFD-7FEE19C80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CC9F0D-1003-404F-AC70-D9B381EC75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056919-8E39-4BB2-A6A1-AAFBDD6483D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1801</Words>
  <Characters>10269</Characters>
  <Application>Microsoft Office Word</Application>
  <DocSecurity>8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DHHS P&amp;P Template</vt:lpstr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QM-08-02 Continuity of Care</dc:title>
  <dc:creator/>
  <cp:keywords>ADA Version 2026</cp:keywords>
  <cp:lastModifiedBy>Baranski. Nicholas</cp:lastModifiedBy>
  <cp:revision>2</cp:revision>
  <dcterms:created xsi:type="dcterms:W3CDTF">2021-03-05T00:23:00Z</dcterms:created>
  <dcterms:modified xsi:type="dcterms:W3CDTF">2026-07-09T17:10:00Z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0x010100855B2ECD6C979E4E9066555C6786BDE7</vt:lpwstr>
  </property>
</Properties>
</file>