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29"/>
        <w:gridCol w:w="3476"/>
        <w:gridCol w:w="966"/>
        <w:gridCol w:w="1983"/>
        <w:gridCol w:w="2036"/>
      </w:tblGrid>
      <w:tr w:rsidR="00B43798" w:rsidRPr="00742528" w14:paraId="0A7520D6" w14:textId="77777777" w:rsidTr="00742528">
        <w:trPr>
          <w:trHeight w:hRule="exact" w:val="518"/>
        </w:trPr>
        <w:tc>
          <w:tcPr>
            <w:tcW w:w="1350" w:type="dxa"/>
            <w:vMerge w:val="restart"/>
            <w:tcBorders>
              <w:right w:val="nil"/>
            </w:tcBorders>
            <w:vAlign w:val="center"/>
          </w:tcPr>
          <w:p w14:paraId="74F6AAC8" w14:textId="1A46357D" w:rsidR="00B43798" w:rsidRPr="00742528" w:rsidRDefault="007B61B0" w:rsidP="00742528">
            <w:pPr>
              <w:spacing w:after="0" w:line="240" w:lineRule="auto"/>
              <w:jc w:val="center"/>
              <w:rPr>
                <w:rFonts w:ascii="Arial" w:hAnsi="Arial"/>
              </w:rPr>
            </w:pPr>
            <w:r>
              <w:rPr>
                <w:noProof/>
              </w:rPr>
              <w:drawing>
                <wp:anchor distT="0" distB="0" distL="114300" distR="114300" simplePos="0" relativeHeight="251657728" behindDoc="0" locked="0" layoutInCell="1" allowOverlap="1" wp14:anchorId="3BC6AAA1" wp14:editId="4892BFB8">
                  <wp:simplePos x="0" y="0"/>
                  <wp:positionH relativeFrom="column">
                    <wp:posOffset>115570</wp:posOffset>
                  </wp:positionH>
                  <wp:positionV relativeFrom="paragraph">
                    <wp:posOffset>140970</wp:posOffset>
                  </wp:positionV>
                  <wp:extent cx="561975" cy="561975"/>
                  <wp:effectExtent l="0" t="0" r="0" b="0"/>
                  <wp:wrapNone/>
                  <wp:docPr id="2"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2B7DD" w14:textId="77777777" w:rsidR="00B43798" w:rsidRPr="00742528" w:rsidRDefault="00B43798" w:rsidP="00742528">
            <w:pPr>
              <w:spacing w:after="0" w:line="240" w:lineRule="auto"/>
              <w:jc w:val="center"/>
              <w:rPr>
                <w:rFonts w:ascii="Arial" w:hAnsi="Arial"/>
                <w:b/>
                <w:sz w:val="18"/>
                <w:szCs w:val="18"/>
              </w:rPr>
            </w:pPr>
          </w:p>
        </w:tc>
        <w:tc>
          <w:tcPr>
            <w:tcW w:w="4500" w:type="dxa"/>
            <w:gridSpan w:val="2"/>
            <w:vMerge w:val="restart"/>
            <w:tcBorders>
              <w:left w:val="nil"/>
            </w:tcBorders>
            <w:vAlign w:val="center"/>
          </w:tcPr>
          <w:p w14:paraId="215460D8" w14:textId="77777777" w:rsidR="00B43798" w:rsidRPr="00742528" w:rsidRDefault="00B43798" w:rsidP="00742528">
            <w:pPr>
              <w:spacing w:after="0" w:line="240" w:lineRule="auto"/>
              <w:jc w:val="center"/>
              <w:rPr>
                <w:rFonts w:ascii="Arial" w:hAnsi="Arial"/>
                <w:b/>
                <w:sz w:val="20"/>
                <w:szCs w:val="20"/>
              </w:rPr>
            </w:pPr>
            <w:r w:rsidRPr="00742528">
              <w:rPr>
                <w:rFonts w:ascii="Arial" w:hAnsi="Arial"/>
                <w:b/>
                <w:sz w:val="20"/>
                <w:szCs w:val="20"/>
              </w:rPr>
              <w:t>County of Sacramento</w:t>
            </w:r>
          </w:p>
          <w:p w14:paraId="3D1403DA" w14:textId="77777777" w:rsidR="00B43798" w:rsidRPr="00742528" w:rsidRDefault="00B43798" w:rsidP="00742528">
            <w:pPr>
              <w:spacing w:after="0" w:line="240" w:lineRule="auto"/>
              <w:jc w:val="center"/>
              <w:rPr>
                <w:rFonts w:ascii="Arial" w:hAnsi="Arial"/>
                <w:b/>
                <w:sz w:val="20"/>
                <w:szCs w:val="20"/>
              </w:rPr>
            </w:pPr>
            <w:r w:rsidRPr="00742528">
              <w:rPr>
                <w:rFonts w:ascii="Arial" w:hAnsi="Arial"/>
                <w:b/>
                <w:sz w:val="20"/>
                <w:szCs w:val="20"/>
              </w:rPr>
              <w:t>Department of Health Services</w:t>
            </w:r>
          </w:p>
          <w:p w14:paraId="43E4A3AD" w14:textId="77777777" w:rsidR="00BF5E45" w:rsidRPr="00742528" w:rsidRDefault="00B43798" w:rsidP="00BF5E45">
            <w:pPr>
              <w:pStyle w:val="BodyText3"/>
              <w:rPr>
                <w:sz w:val="20"/>
                <w:szCs w:val="20"/>
              </w:rPr>
            </w:pPr>
            <w:r w:rsidRPr="00742528">
              <w:rPr>
                <w:sz w:val="20"/>
                <w:szCs w:val="20"/>
              </w:rPr>
              <w:t xml:space="preserve">Division of </w:t>
            </w:r>
            <w:r w:rsidR="00BF5E45" w:rsidRPr="00742528">
              <w:rPr>
                <w:sz w:val="20"/>
                <w:szCs w:val="20"/>
              </w:rPr>
              <w:t>Behavioral Health Services</w:t>
            </w:r>
          </w:p>
          <w:p w14:paraId="356809C0" w14:textId="77777777" w:rsidR="00B43798" w:rsidRPr="00742528" w:rsidRDefault="00B43798" w:rsidP="00742528">
            <w:pPr>
              <w:pStyle w:val="BodyText3"/>
              <w:spacing w:after="120"/>
              <w:rPr>
                <w:sz w:val="18"/>
                <w:szCs w:val="18"/>
              </w:rPr>
            </w:pPr>
            <w:r w:rsidRPr="00742528">
              <w:rPr>
                <w:sz w:val="20"/>
                <w:szCs w:val="20"/>
              </w:rPr>
              <w:t>Policy and Procedure</w:t>
            </w:r>
          </w:p>
        </w:tc>
        <w:tc>
          <w:tcPr>
            <w:tcW w:w="1989" w:type="dxa"/>
            <w:vAlign w:val="bottom"/>
          </w:tcPr>
          <w:p w14:paraId="734AE5C9" w14:textId="77777777" w:rsidR="00B43798" w:rsidRPr="00742528" w:rsidRDefault="00B43798" w:rsidP="00742528">
            <w:pPr>
              <w:spacing w:after="0" w:line="240" w:lineRule="auto"/>
              <w:rPr>
                <w:rFonts w:ascii="Arial" w:hAnsi="Arial"/>
              </w:rPr>
            </w:pPr>
            <w:r w:rsidRPr="00742528">
              <w:rPr>
                <w:rFonts w:ascii="Arial" w:hAnsi="Arial"/>
              </w:rPr>
              <w:t>Policy Issue</w:t>
            </w:r>
            <w:r w:rsidR="00B15800" w:rsidRPr="00742528">
              <w:rPr>
                <w:rFonts w:ascii="Arial" w:eastAsia="PMingLiU" w:hAnsi="Arial" w:hint="eastAsia"/>
                <w:lang w:eastAsia="zh-TW"/>
              </w:rPr>
              <w:t>r</w:t>
            </w:r>
            <w:r w:rsidRPr="00742528">
              <w:rPr>
                <w:rFonts w:ascii="Arial" w:hAnsi="Arial"/>
              </w:rPr>
              <w:t xml:space="preserve"> (Unit</w:t>
            </w:r>
            <w:r w:rsidR="00B15800" w:rsidRPr="00742528">
              <w:rPr>
                <w:rFonts w:ascii="Arial" w:eastAsia="PMingLiU" w:hAnsi="Arial" w:hint="eastAsia"/>
                <w:lang w:eastAsia="zh-TW"/>
              </w:rPr>
              <w:t>/Program</w:t>
            </w:r>
            <w:r w:rsidRPr="00742528">
              <w:rPr>
                <w:rFonts w:ascii="Arial" w:hAnsi="Arial"/>
              </w:rPr>
              <w:t>)</w:t>
            </w:r>
          </w:p>
        </w:tc>
        <w:tc>
          <w:tcPr>
            <w:tcW w:w="2061" w:type="dxa"/>
            <w:vAlign w:val="bottom"/>
          </w:tcPr>
          <w:p w14:paraId="1B5E4476" w14:textId="77777777" w:rsidR="00B43798" w:rsidRPr="00742528" w:rsidRDefault="00B71335" w:rsidP="00742528">
            <w:pPr>
              <w:spacing w:after="0" w:line="240" w:lineRule="auto"/>
              <w:rPr>
                <w:rFonts w:ascii="Arial" w:hAnsi="Arial"/>
                <w:b/>
              </w:rPr>
            </w:pPr>
            <w:r w:rsidRPr="00742528">
              <w:rPr>
                <w:rFonts w:ascii="Arial" w:hAnsi="Arial"/>
                <w:b/>
              </w:rPr>
              <w:t>QM</w:t>
            </w:r>
          </w:p>
        </w:tc>
      </w:tr>
      <w:tr w:rsidR="00B43798" w:rsidRPr="00742528" w14:paraId="27E6DB60" w14:textId="77777777" w:rsidTr="00742528">
        <w:trPr>
          <w:trHeight w:hRule="exact" w:val="331"/>
        </w:trPr>
        <w:tc>
          <w:tcPr>
            <w:tcW w:w="1350" w:type="dxa"/>
            <w:vMerge/>
            <w:tcBorders>
              <w:right w:val="nil"/>
            </w:tcBorders>
          </w:tcPr>
          <w:p w14:paraId="4A796D89" w14:textId="77777777" w:rsidR="00B43798" w:rsidRPr="00742528" w:rsidRDefault="00B43798" w:rsidP="00742528">
            <w:pPr>
              <w:spacing w:after="0" w:line="240" w:lineRule="auto"/>
              <w:rPr>
                <w:rFonts w:ascii="Arial" w:hAnsi="Arial"/>
              </w:rPr>
            </w:pPr>
          </w:p>
        </w:tc>
        <w:tc>
          <w:tcPr>
            <w:tcW w:w="4500" w:type="dxa"/>
            <w:gridSpan w:val="2"/>
            <w:vMerge/>
            <w:tcBorders>
              <w:left w:val="nil"/>
            </w:tcBorders>
          </w:tcPr>
          <w:p w14:paraId="2F6BF8A9" w14:textId="77777777" w:rsidR="00B43798" w:rsidRPr="00742528" w:rsidRDefault="00B43798" w:rsidP="00742528">
            <w:pPr>
              <w:spacing w:after="0" w:line="240" w:lineRule="auto"/>
              <w:rPr>
                <w:rFonts w:ascii="Arial" w:hAnsi="Arial"/>
                <w:sz w:val="18"/>
                <w:szCs w:val="18"/>
              </w:rPr>
            </w:pPr>
          </w:p>
        </w:tc>
        <w:tc>
          <w:tcPr>
            <w:tcW w:w="1989" w:type="dxa"/>
            <w:vAlign w:val="bottom"/>
          </w:tcPr>
          <w:p w14:paraId="5C2F47B4" w14:textId="77777777" w:rsidR="00B43798" w:rsidRPr="00742528" w:rsidRDefault="00B43798" w:rsidP="00742528">
            <w:pPr>
              <w:spacing w:after="0" w:line="240" w:lineRule="auto"/>
              <w:rPr>
                <w:rFonts w:ascii="Arial" w:hAnsi="Arial"/>
              </w:rPr>
            </w:pPr>
            <w:r w:rsidRPr="00742528">
              <w:rPr>
                <w:rFonts w:ascii="Arial" w:hAnsi="Arial"/>
              </w:rPr>
              <w:t>Policy Number</w:t>
            </w:r>
          </w:p>
        </w:tc>
        <w:tc>
          <w:tcPr>
            <w:tcW w:w="2061" w:type="dxa"/>
            <w:vAlign w:val="bottom"/>
          </w:tcPr>
          <w:p w14:paraId="1CDEBC34" w14:textId="77777777" w:rsidR="00B43798" w:rsidRPr="00742528" w:rsidRDefault="0090092D" w:rsidP="00D05634">
            <w:pPr>
              <w:spacing w:after="0" w:line="240" w:lineRule="auto"/>
              <w:rPr>
                <w:rFonts w:ascii="Arial" w:hAnsi="Arial"/>
                <w:b/>
              </w:rPr>
            </w:pPr>
            <w:r w:rsidRPr="00742528">
              <w:rPr>
                <w:rFonts w:ascii="Arial" w:hAnsi="Arial"/>
                <w:b/>
              </w:rPr>
              <w:t>QM-</w:t>
            </w:r>
            <w:r w:rsidR="00EA560F">
              <w:rPr>
                <w:rFonts w:ascii="Arial" w:hAnsi="Arial"/>
                <w:b/>
              </w:rPr>
              <w:t>10-2</w:t>
            </w:r>
            <w:r w:rsidR="00D05634">
              <w:rPr>
                <w:rFonts w:ascii="Arial" w:hAnsi="Arial"/>
                <w:b/>
              </w:rPr>
              <w:t>8</w:t>
            </w:r>
          </w:p>
        </w:tc>
      </w:tr>
      <w:tr w:rsidR="00B43798" w:rsidRPr="00742528" w14:paraId="6733A9CA" w14:textId="77777777" w:rsidTr="00742528">
        <w:trPr>
          <w:trHeight w:hRule="exact" w:val="331"/>
        </w:trPr>
        <w:tc>
          <w:tcPr>
            <w:tcW w:w="1350" w:type="dxa"/>
            <w:vMerge/>
            <w:tcBorders>
              <w:right w:val="nil"/>
            </w:tcBorders>
          </w:tcPr>
          <w:p w14:paraId="5E7ACC76" w14:textId="77777777" w:rsidR="00B43798" w:rsidRPr="00742528" w:rsidRDefault="00B43798" w:rsidP="00742528">
            <w:pPr>
              <w:spacing w:after="0" w:line="240" w:lineRule="auto"/>
              <w:rPr>
                <w:rFonts w:ascii="Arial" w:hAnsi="Arial"/>
              </w:rPr>
            </w:pPr>
          </w:p>
        </w:tc>
        <w:tc>
          <w:tcPr>
            <w:tcW w:w="4500" w:type="dxa"/>
            <w:gridSpan w:val="2"/>
            <w:vMerge/>
            <w:tcBorders>
              <w:left w:val="nil"/>
            </w:tcBorders>
          </w:tcPr>
          <w:p w14:paraId="2802BBDC" w14:textId="77777777" w:rsidR="00B43798" w:rsidRPr="00742528" w:rsidRDefault="00B43798" w:rsidP="00742528">
            <w:pPr>
              <w:spacing w:after="0" w:line="240" w:lineRule="auto"/>
              <w:rPr>
                <w:rFonts w:ascii="Arial" w:hAnsi="Arial"/>
                <w:sz w:val="18"/>
                <w:szCs w:val="18"/>
              </w:rPr>
            </w:pPr>
          </w:p>
        </w:tc>
        <w:tc>
          <w:tcPr>
            <w:tcW w:w="1989" w:type="dxa"/>
            <w:vAlign w:val="bottom"/>
          </w:tcPr>
          <w:p w14:paraId="0BEDBD78" w14:textId="77777777" w:rsidR="00B43798" w:rsidRPr="00742528" w:rsidRDefault="00B43798" w:rsidP="00742528">
            <w:pPr>
              <w:spacing w:after="0" w:line="240" w:lineRule="auto"/>
              <w:rPr>
                <w:rFonts w:ascii="Arial" w:hAnsi="Arial"/>
              </w:rPr>
            </w:pPr>
            <w:r w:rsidRPr="00742528">
              <w:rPr>
                <w:rFonts w:ascii="Arial" w:hAnsi="Arial"/>
              </w:rPr>
              <w:t>Effective Date</w:t>
            </w:r>
          </w:p>
        </w:tc>
        <w:tc>
          <w:tcPr>
            <w:tcW w:w="2061" w:type="dxa"/>
            <w:vAlign w:val="bottom"/>
          </w:tcPr>
          <w:p w14:paraId="3A8A5034" w14:textId="77777777" w:rsidR="00B43798" w:rsidRPr="00742528" w:rsidRDefault="00EA560F" w:rsidP="00742528">
            <w:pPr>
              <w:spacing w:after="0" w:line="240" w:lineRule="auto"/>
              <w:rPr>
                <w:rFonts w:ascii="Arial" w:hAnsi="Arial"/>
                <w:b/>
              </w:rPr>
            </w:pPr>
            <w:r>
              <w:rPr>
                <w:rFonts w:ascii="Arial" w:hAnsi="Arial"/>
                <w:b/>
              </w:rPr>
              <w:t>07-01-2014</w:t>
            </w:r>
          </w:p>
        </w:tc>
      </w:tr>
      <w:tr w:rsidR="00B43798" w:rsidRPr="00742528" w14:paraId="68BB71C9" w14:textId="77777777" w:rsidTr="00742528">
        <w:trPr>
          <w:trHeight w:hRule="exact" w:val="331"/>
        </w:trPr>
        <w:tc>
          <w:tcPr>
            <w:tcW w:w="1350" w:type="dxa"/>
            <w:vMerge/>
            <w:tcBorders>
              <w:right w:val="nil"/>
            </w:tcBorders>
          </w:tcPr>
          <w:p w14:paraId="44058E7D" w14:textId="77777777" w:rsidR="00B43798" w:rsidRPr="00742528" w:rsidRDefault="00B43798" w:rsidP="00742528">
            <w:pPr>
              <w:spacing w:after="0" w:line="240" w:lineRule="auto"/>
              <w:rPr>
                <w:rFonts w:ascii="Arial" w:hAnsi="Arial"/>
              </w:rPr>
            </w:pPr>
          </w:p>
        </w:tc>
        <w:tc>
          <w:tcPr>
            <w:tcW w:w="4500" w:type="dxa"/>
            <w:gridSpan w:val="2"/>
            <w:vMerge/>
            <w:tcBorders>
              <w:left w:val="nil"/>
            </w:tcBorders>
          </w:tcPr>
          <w:p w14:paraId="24381EAA" w14:textId="77777777" w:rsidR="00B43798" w:rsidRPr="00742528" w:rsidRDefault="00B43798" w:rsidP="00742528">
            <w:pPr>
              <w:spacing w:after="0" w:line="240" w:lineRule="auto"/>
              <w:rPr>
                <w:rFonts w:ascii="Arial" w:hAnsi="Arial"/>
                <w:sz w:val="18"/>
                <w:szCs w:val="18"/>
              </w:rPr>
            </w:pPr>
          </w:p>
        </w:tc>
        <w:tc>
          <w:tcPr>
            <w:tcW w:w="1989" w:type="dxa"/>
            <w:vAlign w:val="bottom"/>
          </w:tcPr>
          <w:p w14:paraId="17FD1DA7" w14:textId="77777777" w:rsidR="00B43798" w:rsidRPr="00742528" w:rsidRDefault="00B43798" w:rsidP="00742528">
            <w:pPr>
              <w:spacing w:after="0" w:line="240" w:lineRule="auto"/>
              <w:rPr>
                <w:rFonts w:ascii="Arial" w:hAnsi="Arial"/>
              </w:rPr>
            </w:pPr>
            <w:r w:rsidRPr="00742528">
              <w:rPr>
                <w:rFonts w:ascii="Arial" w:hAnsi="Arial"/>
              </w:rPr>
              <w:t>Revision Date</w:t>
            </w:r>
          </w:p>
        </w:tc>
        <w:tc>
          <w:tcPr>
            <w:tcW w:w="2061" w:type="dxa"/>
            <w:vAlign w:val="bottom"/>
          </w:tcPr>
          <w:p w14:paraId="6467447E" w14:textId="77777777" w:rsidR="00B43798" w:rsidRPr="00742528" w:rsidRDefault="000918F0" w:rsidP="00742528">
            <w:pPr>
              <w:spacing w:after="0" w:line="240" w:lineRule="auto"/>
              <w:rPr>
                <w:rFonts w:ascii="Arial" w:hAnsi="Arial"/>
                <w:b/>
              </w:rPr>
            </w:pPr>
            <w:r>
              <w:rPr>
                <w:rFonts w:ascii="Arial" w:hAnsi="Arial"/>
                <w:b/>
              </w:rPr>
              <w:t>01-15-2021</w:t>
            </w:r>
          </w:p>
        </w:tc>
      </w:tr>
      <w:tr w:rsidR="00453EB9" w:rsidRPr="00742528" w14:paraId="4153E376" w14:textId="77777777" w:rsidTr="00742528">
        <w:tc>
          <w:tcPr>
            <w:tcW w:w="4869" w:type="dxa"/>
            <w:gridSpan w:val="2"/>
          </w:tcPr>
          <w:p w14:paraId="7A0907F4" w14:textId="77777777" w:rsidR="00BF5E45" w:rsidRPr="00F72490" w:rsidRDefault="00453EB9" w:rsidP="00742528">
            <w:pPr>
              <w:spacing w:after="0" w:line="240" w:lineRule="auto"/>
              <w:rPr>
                <w:rFonts w:ascii="Arial" w:hAnsi="Arial"/>
              </w:rPr>
            </w:pPr>
            <w:r w:rsidRPr="00F72490">
              <w:rPr>
                <w:rFonts w:ascii="Arial" w:hAnsi="Arial"/>
              </w:rPr>
              <w:t>Title:</w:t>
            </w:r>
          </w:p>
          <w:p w14:paraId="478316F9" w14:textId="77777777" w:rsidR="00D05634" w:rsidRPr="00E1015F" w:rsidRDefault="00D05634" w:rsidP="00E1015F">
            <w:pPr>
              <w:pStyle w:val="Title"/>
            </w:pPr>
            <w:r w:rsidRPr="00E1015F">
              <w:t>Discharge Process</w:t>
            </w:r>
          </w:p>
          <w:p w14:paraId="0B1527B3" w14:textId="77777777" w:rsidR="00D05634" w:rsidRPr="00F72490" w:rsidRDefault="00D05634" w:rsidP="00D05634">
            <w:pPr>
              <w:spacing w:after="0" w:line="240" w:lineRule="auto"/>
              <w:rPr>
                <w:rFonts w:ascii="Arial" w:hAnsi="Arial"/>
              </w:rPr>
            </w:pPr>
          </w:p>
        </w:tc>
        <w:tc>
          <w:tcPr>
            <w:tcW w:w="5031" w:type="dxa"/>
            <w:gridSpan w:val="3"/>
          </w:tcPr>
          <w:p w14:paraId="45A0BE51" w14:textId="77777777" w:rsidR="00453EB9" w:rsidRPr="00F72490" w:rsidRDefault="00453EB9" w:rsidP="00742528">
            <w:pPr>
              <w:spacing w:after="0" w:line="240" w:lineRule="auto"/>
              <w:rPr>
                <w:rFonts w:ascii="Arial" w:hAnsi="Arial"/>
              </w:rPr>
            </w:pPr>
            <w:r w:rsidRPr="00F72490">
              <w:rPr>
                <w:rFonts w:ascii="Arial" w:hAnsi="Arial"/>
              </w:rPr>
              <w:t>Functional Area:</w:t>
            </w:r>
          </w:p>
          <w:p w14:paraId="42B1FD6C" w14:textId="77777777" w:rsidR="00BF5E45" w:rsidRPr="00F72490" w:rsidRDefault="00EA560F" w:rsidP="00742528">
            <w:pPr>
              <w:spacing w:after="0" w:line="240" w:lineRule="auto"/>
              <w:rPr>
                <w:rFonts w:ascii="Arial" w:hAnsi="Arial"/>
                <w:b/>
              </w:rPr>
            </w:pPr>
            <w:r w:rsidRPr="001B6B91">
              <w:rPr>
                <w:rFonts w:ascii="Arial" w:hAnsi="Arial"/>
                <w:b/>
              </w:rPr>
              <w:t>Chart Review – Non-Hospital Services</w:t>
            </w:r>
          </w:p>
        </w:tc>
      </w:tr>
      <w:tr w:rsidR="00453EB9" w:rsidRPr="00742528" w14:paraId="439E8841" w14:textId="77777777" w:rsidTr="00742528">
        <w:trPr>
          <w:trHeight w:val="516"/>
        </w:trPr>
        <w:tc>
          <w:tcPr>
            <w:tcW w:w="9900" w:type="dxa"/>
            <w:gridSpan w:val="5"/>
          </w:tcPr>
          <w:p w14:paraId="4A4A0DCB" w14:textId="77777777" w:rsidR="0090092D" w:rsidRPr="00F72490" w:rsidRDefault="0090092D" w:rsidP="00742528">
            <w:pPr>
              <w:spacing w:after="0" w:line="240" w:lineRule="auto"/>
              <w:rPr>
                <w:rFonts w:ascii="Arial" w:hAnsi="Arial"/>
                <w:b/>
              </w:rPr>
            </w:pPr>
            <w:r w:rsidRPr="00F72490">
              <w:rPr>
                <w:rFonts w:ascii="Arial" w:hAnsi="Arial"/>
              </w:rPr>
              <w:t>Approved By</w:t>
            </w:r>
            <w:proofErr w:type="gramStart"/>
            <w:r w:rsidRPr="00F72490">
              <w:rPr>
                <w:rFonts w:ascii="Arial" w:hAnsi="Arial"/>
              </w:rPr>
              <w:t>:  (</w:t>
            </w:r>
            <w:proofErr w:type="gramEnd"/>
            <w:r w:rsidRPr="00F72490">
              <w:rPr>
                <w:rFonts w:ascii="Arial" w:hAnsi="Arial"/>
              </w:rPr>
              <w:t>Signature on File)</w:t>
            </w:r>
            <w:r w:rsidRPr="00F72490">
              <w:rPr>
                <w:rFonts w:ascii="Arial" w:hAnsi="Arial"/>
                <w:b/>
              </w:rPr>
              <w:t xml:space="preserve"> Signed version available upon request</w:t>
            </w:r>
          </w:p>
          <w:p w14:paraId="15FFFC1E" w14:textId="77777777" w:rsidR="007125AE" w:rsidRPr="00F72490" w:rsidRDefault="007125AE" w:rsidP="00742528">
            <w:pPr>
              <w:spacing w:after="0" w:line="240" w:lineRule="auto"/>
              <w:rPr>
                <w:rFonts w:ascii="Arial" w:hAnsi="Arial"/>
              </w:rPr>
            </w:pPr>
          </w:p>
          <w:p w14:paraId="1877B66F" w14:textId="77777777" w:rsidR="00F72490" w:rsidRPr="00F72490" w:rsidRDefault="000918F0" w:rsidP="00EA560F">
            <w:pPr>
              <w:tabs>
                <w:tab w:val="left" w:pos="0"/>
              </w:tabs>
              <w:spacing w:after="0" w:line="240" w:lineRule="auto"/>
              <w:rPr>
                <w:rFonts w:ascii="Arial" w:hAnsi="Arial"/>
              </w:rPr>
            </w:pPr>
            <w:r>
              <w:rPr>
                <w:rFonts w:ascii="Arial" w:hAnsi="Arial"/>
                <w:b/>
              </w:rPr>
              <w:t>Alex</w:t>
            </w:r>
            <w:r w:rsidR="002807DC">
              <w:rPr>
                <w:rFonts w:ascii="Arial" w:hAnsi="Arial"/>
                <w:b/>
              </w:rPr>
              <w:t>andra</w:t>
            </w:r>
            <w:r>
              <w:rPr>
                <w:rFonts w:ascii="Arial" w:hAnsi="Arial"/>
                <w:b/>
              </w:rPr>
              <w:t xml:space="preserve"> Rechs, LMFT</w:t>
            </w:r>
            <w:r w:rsidR="00BF5E45" w:rsidRPr="00F72490">
              <w:rPr>
                <w:rFonts w:ascii="Arial" w:hAnsi="Arial"/>
                <w:b/>
              </w:rPr>
              <w:br/>
            </w:r>
            <w:r w:rsidR="00BF5E45" w:rsidRPr="00F72490">
              <w:rPr>
                <w:rFonts w:ascii="Arial" w:hAnsi="Arial"/>
              </w:rPr>
              <w:t>Program Manager, Quality Management</w:t>
            </w:r>
          </w:p>
        </w:tc>
      </w:tr>
    </w:tbl>
    <w:p w14:paraId="33DE0DD7" w14:textId="77777777" w:rsidR="00437238" w:rsidRPr="00F72490" w:rsidRDefault="00437238" w:rsidP="00EA560F">
      <w:pPr>
        <w:spacing w:after="0" w:line="240" w:lineRule="auto"/>
        <w:rPr>
          <w:rFonts w:ascii="Arial" w:hAnsi="Arial"/>
        </w:rPr>
      </w:pPr>
    </w:p>
    <w:p w14:paraId="68C5BDFB" w14:textId="77777777" w:rsidR="00EA560F" w:rsidRPr="00E1015F" w:rsidRDefault="00EA560F" w:rsidP="00E1015F">
      <w:pPr>
        <w:pStyle w:val="Heading1"/>
      </w:pPr>
      <w:r w:rsidRPr="00E1015F">
        <w:t>BACKGROUND/CONTEXT:</w:t>
      </w:r>
    </w:p>
    <w:p w14:paraId="05162DF7" w14:textId="77777777" w:rsidR="00D05634" w:rsidRPr="00C26FB2" w:rsidRDefault="00D05634" w:rsidP="00EA560F">
      <w:pPr>
        <w:spacing w:after="0" w:line="240" w:lineRule="auto"/>
        <w:rPr>
          <w:rFonts w:ascii="Arial" w:hAnsi="Arial"/>
          <w:b/>
        </w:rPr>
      </w:pPr>
    </w:p>
    <w:p w14:paraId="3EEDFFCC" w14:textId="77777777" w:rsidR="00D05634" w:rsidRDefault="00D05634" w:rsidP="00D05634">
      <w:pPr>
        <w:spacing w:after="0" w:line="240" w:lineRule="auto"/>
        <w:rPr>
          <w:rFonts w:ascii="Arial" w:hAnsi="Arial"/>
        </w:rPr>
      </w:pPr>
      <w:r>
        <w:rPr>
          <w:rFonts w:ascii="Arial" w:hAnsi="Arial"/>
        </w:rPr>
        <w:t>Sacramento County Division of Behavioral Health Services may be described as having three phases, a beginning, middle and end phase of treatment and related services.  The end phase of treatment may occur for many different reasons, including completion of goals, change in level of service needs, relocation, client choice or an unexplained stoppage of service.  Discharge from behavioral health services must be marked by completion of steps in the AVATAR Clinical Workstation (CWS), as defined and described below.</w:t>
      </w:r>
    </w:p>
    <w:p w14:paraId="4B7B0F3F" w14:textId="77777777" w:rsidR="00D05634" w:rsidRPr="00D05634" w:rsidRDefault="00D05634" w:rsidP="00D05634">
      <w:pPr>
        <w:pStyle w:val="BlockText"/>
        <w:spacing w:after="0"/>
        <w:ind w:left="0" w:right="0"/>
        <w:outlineLvl w:val="0"/>
        <w:rPr>
          <w:rFonts w:ascii="Arial" w:hAnsi="Arial" w:cs="Arial"/>
          <w:sz w:val="22"/>
          <w:szCs w:val="22"/>
        </w:rPr>
      </w:pPr>
    </w:p>
    <w:p w14:paraId="4B04D16E" w14:textId="77777777" w:rsidR="00D05634" w:rsidRPr="00E1015F" w:rsidRDefault="00D05634" w:rsidP="00E1015F">
      <w:pPr>
        <w:pStyle w:val="Heading2"/>
      </w:pPr>
      <w:r w:rsidRPr="00E1015F">
        <w:t>DEFINITIONS:</w:t>
      </w:r>
    </w:p>
    <w:p w14:paraId="12E3583C" w14:textId="77777777" w:rsidR="003A01D6" w:rsidRDefault="003A01D6" w:rsidP="00D05634">
      <w:pPr>
        <w:spacing w:after="0" w:line="240" w:lineRule="auto"/>
        <w:rPr>
          <w:rFonts w:ascii="Arial" w:hAnsi="Arial"/>
        </w:rPr>
      </w:pPr>
    </w:p>
    <w:p w14:paraId="36BC9F28" w14:textId="77777777" w:rsidR="00D05634" w:rsidRPr="00D05634" w:rsidRDefault="00D05634" w:rsidP="00D05634">
      <w:pPr>
        <w:spacing w:after="0" w:line="240" w:lineRule="auto"/>
        <w:rPr>
          <w:rFonts w:ascii="Arial" w:hAnsi="Arial"/>
        </w:rPr>
      </w:pPr>
      <w:r w:rsidRPr="0067458C">
        <w:rPr>
          <w:rFonts w:ascii="Arial" w:hAnsi="Arial"/>
          <w:u w:val="single"/>
        </w:rPr>
        <w:t>Discharge</w:t>
      </w:r>
      <w:r>
        <w:rPr>
          <w:rFonts w:ascii="Arial" w:hAnsi="Arial"/>
          <w:b/>
        </w:rPr>
        <w:t xml:space="preserve"> </w:t>
      </w:r>
      <w:r w:rsidRPr="00B40505">
        <w:rPr>
          <w:rFonts w:ascii="Arial" w:hAnsi="Arial"/>
        </w:rPr>
        <w:t xml:space="preserve">is the termination </w:t>
      </w:r>
      <w:r w:rsidRPr="00D05634">
        <w:rPr>
          <w:rFonts w:ascii="Arial" w:hAnsi="Arial"/>
        </w:rPr>
        <w:t>and/or transition of client services to another provider and represents closure for a provider episode.</w:t>
      </w:r>
    </w:p>
    <w:p w14:paraId="7D32A58F" w14:textId="77777777" w:rsidR="00D05634" w:rsidRPr="00D05634" w:rsidRDefault="00D05634" w:rsidP="00D05634">
      <w:pPr>
        <w:spacing w:after="0" w:line="240" w:lineRule="auto"/>
        <w:rPr>
          <w:rFonts w:ascii="Arial" w:hAnsi="Arial"/>
        </w:rPr>
      </w:pPr>
    </w:p>
    <w:p w14:paraId="1B064B99" w14:textId="77777777" w:rsidR="00D05634" w:rsidRPr="00D05634" w:rsidRDefault="00D05634" w:rsidP="00D05634">
      <w:pPr>
        <w:spacing w:after="0" w:line="240" w:lineRule="auto"/>
        <w:rPr>
          <w:rFonts w:ascii="Arial" w:hAnsi="Arial"/>
        </w:rPr>
      </w:pPr>
      <w:r w:rsidRPr="00D05634">
        <w:rPr>
          <w:rFonts w:ascii="Arial" w:hAnsi="Arial"/>
        </w:rPr>
        <w:t xml:space="preserve">The </w:t>
      </w:r>
      <w:r w:rsidRPr="00D05634">
        <w:rPr>
          <w:rFonts w:ascii="Arial" w:hAnsi="Arial"/>
          <w:u w:val="single"/>
        </w:rPr>
        <w:t>Discharge Progress Note</w:t>
      </w:r>
      <w:r w:rsidRPr="00D05634">
        <w:rPr>
          <w:rFonts w:ascii="Arial" w:hAnsi="Arial"/>
        </w:rPr>
        <w:t xml:space="preserve"> provides a concise summary of progress over the course of treatment.  A Discharge Progress Note should include reasons for discharge, course of treatment, progress toward Client Plan goals/objectives, other relevant clinical information, and recommendations for follow-up care and referrals</w:t>
      </w:r>
      <w:r w:rsidR="00512105">
        <w:rPr>
          <w:rFonts w:ascii="Arial" w:hAnsi="Arial"/>
        </w:rPr>
        <w:t xml:space="preserve"> completed</w:t>
      </w:r>
      <w:r w:rsidRPr="00D05634">
        <w:rPr>
          <w:rFonts w:ascii="Arial" w:hAnsi="Arial"/>
        </w:rPr>
        <w:t>, if any</w:t>
      </w:r>
      <w:r>
        <w:rPr>
          <w:rFonts w:ascii="Arial" w:hAnsi="Arial"/>
        </w:rPr>
        <w:t xml:space="preserve">.  If transfer is the reason for discharge, include the Provider </w:t>
      </w:r>
      <w:r w:rsidRPr="00D05634">
        <w:rPr>
          <w:rFonts w:ascii="Arial" w:hAnsi="Arial"/>
        </w:rPr>
        <w:t>name.</w:t>
      </w:r>
    </w:p>
    <w:p w14:paraId="5B8EEEBE" w14:textId="77777777" w:rsidR="00D05634" w:rsidRPr="00D05634" w:rsidRDefault="00D05634" w:rsidP="00D05634">
      <w:pPr>
        <w:spacing w:after="0" w:line="240" w:lineRule="auto"/>
        <w:rPr>
          <w:rFonts w:ascii="Arial" w:hAnsi="Arial"/>
        </w:rPr>
      </w:pPr>
    </w:p>
    <w:p w14:paraId="1569D7C7" w14:textId="77777777" w:rsidR="00437238" w:rsidRPr="00E1015F" w:rsidRDefault="00437238" w:rsidP="00E1015F">
      <w:pPr>
        <w:pStyle w:val="Heading3"/>
      </w:pPr>
      <w:r w:rsidRPr="00E1015F">
        <w:t>PURPOSE:</w:t>
      </w:r>
    </w:p>
    <w:p w14:paraId="18879E39" w14:textId="77777777" w:rsidR="0090092D" w:rsidRPr="00F72490" w:rsidRDefault="0090092D" w:rsidP="00EA560F">
      <w:pPr>
        <w:spacing w:after="0" w:line="240" w:lineRule="auto"/>
        <w:rPr>
          <w:rFonts w:ascii="Arial" w:hAnsi="Arial"/>
        </w:rPr>
      </w:pPr>
    </w:p>
    <w:p w14:paraId="25CDBBA3" w14:textId="77777777" w:rsidR="00D05634" w:rsidRPr="00CD7DEB" w:rsidRDefault="00D05634" w:rsidP="00D05634">
      <w:pPr>
        <w:spacing w:after="0" w:line="240" w:lineRule="auto"/>
        <w:rPr>
          <w:rFonts w:ascii="Arial" w:hAnsi="Arial"/>
        </w:rPr>
      </w:pPr>
      <w:r>
        <w:rPr>
          <w:rFonts w:ascii="Arial" w:hAnsi="Arial"/>
        </w:rPr>
        <w:t xml:space="preserve">The purpose of this policy is to establish documentation standards for the discharge process.  </w:t>
      </w:r>
      <w:r w:rsidRPr="00316E94">
        <w:rPr>
          <w:rFonts w:ascii="Arial" w:hAnsi="Arial"/>
        </w:rPr>
        <w:t xml:space="preserve">Discharge data entry is necessary to update CSI </w:t>
      </w:r>
      <w:r>
        <w:rPr>
          <w:rFonts w:ascii="Arial" w:hAnsi="Arial"/>
        </w:rPr>
        <w:t>information, maintain an accurate client record including discharge diagnosis</w:t>
      </w:r>
      <w:r w:rsidRPr="00316E94">
        <w:rPr>
          <w:rFonts w:ascii="Arial" w:hAnsi="Arial"/>
        </w:rPr>
        <w:t xml:space="preserve">, </w:t>
      </w:r>
      <w:r>
        <w:rPr>
          <w:rFonts w:ascii="Arial" w:hAnsi="Arial"/>
        </w:rPr>
        <w:t xml:space="preserve">and </w:t>
      </w:r>
      <w:r w:rsidRPr="00316E94">
        <w:rPr>
          <w:rFonts w:ascii="Arial" w:hAnsi="Arial"/>
        </w:rPr>
        <w:t>to provide a reliable standard of minimum information collected on the discharge progress not</w:t>
      </w:r>
      <w:r>
        <w:rPr>
          <w:rFonts w:ascii="Arial" w:hAnsi="Arial"/>
        </w:rPr>
        <w:t xml:space="preserve">e. </w:t>
      </w:r>
    </w:p>
    <w:p w14:paraId="60A42844" w14:textId="77777777" w:rsidR="00F72490" w:rsidRPr="00F72490" w:rsidRDefault="00F72490" w:rsidP="00D05634">
      <w:pPr>
        <w:spacing w:after="0" w:line="240" w:lineRule="auto"/>
        <w:rPr>
          <w:rFonts w:ascii="Arial" w:hAnsi="Arial"/>
        </w:rPr>
      </w:pPr>
    </w:p>
    <w:p w14:paraId="14A9A08F" w14:textId="77777777" w:rsidR="00437238" w:rsidRPr="00E1015F" w:rsidRDefault="00437238" w:rsidP="00E1015F">
      <w:pPr>
        <w:pStyle w:val="Heading4"/>
      </w:pPr>
      <w:r w:rsidRPr="00E1015F">
        <w:t>DETAILS:</w:t>
      </w:r>
    </w:p>
    <w:p w14:paraId="4A8137FC" w14:textId="77777777" w:rsidR="0090092D" w:rsidRDefault="0090092D" w:rsidP="00D05634">
      <w:pPr>
        <w:spacing w:after="0" w:line="240" w:lineRule="auto"/>
        <w:rPr>
          <w:rFonts w:ascii="Arial" w:hAnsi="Arial"/>
        </w:rPr>
      </w:pPr>
    </w:p>
    <w:p w14:paraId="5A4D9490" w14:textId="77777777" w:rsidR="00D05634" w:rsidRDefault="00D05634" w:rsidP="00D05634">
      <w:pPr>
        <w:spacing w:after="0" w:line="240" w:lineRule="auto"/>
        <w:rPr>
          <w:rFonts w:ascii="Arial" w:hAnsi="Arial"/>
        </w:rPr>
      </w:pPr>
      <w:r>
        <w:rPr>
          <w:rFonts w:ascii="Arial" w:hAnsi="Arial"/>
        </w:rPr>
        <w:t>Activities required to complete Discharge include:</w:t>
      </w:r>
    </w:p>
    <w:p w14:paraId="6D49463B" w14:textId="77777777" w:rsidR="00512105" w:rsidRPr="005547AB" w:rsidRDefault="00D05634" w:rsidP="005547AB">
      <w:pPr>
        <w:numPr>
          <w:ilvl w:val="0"/>
          <w:numId w:val="11"/>
        </w:numPr>
        <w:spacing w:after="0" w:line="240" w:lineRule="auto"/>
        <w:ind w:left="360"/>
        <w:rPr>
          <w:rFonts w:ascii="Arial" w:hAnsi="Arial"/>
        </w:rPr>
      </w:pPr>
      <w:r>
        <w:rPr>
          <w:rFonts w:ascii="Arial" w:hAnsi="Arial"/>
        </w:rPr>
        <w:t>Completion of Discharge Progress Note</w:t>
      </w:r>
      <w:r w:rsidR="00512105">
        <w:rPr>
          <w:rFonts w:ascii="Arial" w:hAnsi="Arial"/>
        </w:rPr>
        <w:t xml:space="preserve"> </w:t>
      </w:r>
    </w:p>
    <w:p w14:paraId="2F18312F" w14:textId="77777777" w:rsidR="00D05634" w:rsidRPr="005547AB" w:rsidRDefault="00512105" w:rsidP="005547AB">
      <w:pPr>
        <w:numPr>
          <w:ilvl w:val="0"/>
          <w:numId w:val="11"/>
        </w:numPr>
        <w:spacing w:after="0" w:line="240" w:lineRule="auto"/>
        <w:ind w:left="360"/>
        <w:rPr>
          <w:rFonts w:ascii="Arial" w:hAnsi="Arial"/>
        </w:rPr>
      </w:pPr>
      <w:r>
        <w:rPr>
          <w:rFonts w:ascii="Arial" w:hAnsi="Arial"/>
        </w:rPr>
        <w:t>Discharge Form – Document the reason for discharge.</w:t>
      </w:r>
    </w:p>
    <w:p w14:paraId="4E239358" w14:textId="77777777" w:rsidR="00D05634" w:rsidRPr="005547AB" w:rsidRDefault="00D05634" w:rsidP="005547AB">
      <w:pPr>
        <w:numPr>
          <w:ilvl w:val="0"/>
          <w:numId w:val="11"/>
        </w:numPr>
        <w:spacing w:after="0" w:line="240" w:lineRule="auto"/>
        <w:ind w:left="360"/>
        <w:rPr>
          <w:rFonts w:ascii="Arial" w:hAnsi="Arial"/>
        </w:rPr>
      </w:pPr>
      <w:r>
        <w:rPr>
          <w:rFonts w:ascii="Arial" w:hAnsi="Arial"/>
        </w:rPr>
        <w:t>Update CSI information</w:t>
      </w:r>
    </w:p>
    <w:p w14:paraId="45D86472" w14:textId="77777777" w:rsidR="0094005F" w:rsidRPr="005547AB" w:rsidRDefault="00D05634" w:rsidP="005547AB">
      <w:pPr>
        <w:numPr>
          <w:ilvl w:val="0"/>
          <w:numId w:val="11"/>
        </w:numPr>
        <w:spacing w:after="0" w:line="240" w:lineRule="auto"/>
        <w:ind w:left="360"/>
        <w:rPr>
          <w:rFonts w:ascii="Arial" w:hAnsi="Arial"/>
        </w:rPr>
      </w:pPr>
      <w:r>
        <w:rPr>
          <w:rFonts w:ascii="Arial" w:hAnsi="Arial"/>
        </w:rPr>
        <w:t>Submission of Discharge Diagnosis.</w:t>
      </w:r>
    </w:p>
    <w:p w14:paraId="19923C36" w14:textId="77777777" w:rsidR="0094005F" w:rsidRDefault="0094005F" w:rsidP="00D05634">
      <w:pPr>
        <w:numPr>
          <w:ilvl w:val="0"/>
          <w:numId w:val="11"/>
        </w:numPr>
        <w:spacing w:after="0" w:line="240" w:lineRule="auto"/>
        <w:ind w:left="360"/>
        <w:rPr>
          <w:rFonts w:ascii="Arial" w:hAnsi="Arial"/>
        </w:rPr>
      </w:pPr>
      <w:r>
        <w:rPr>
          <w:rFonts w:ascii="Arial" w:hAnsi="Arial"/>
        </w:rPr>
        <w:t>Notice of Adverse Benefit Determination (NOABD)</w:t>
      </w:r>
    </w:p>
    <w:p w14:paraId="1A1CB272" w14:textId="77777777" w:rsidR="00D05634" w:rsidRDefault="00D05634" w:rsidP="00D05634">
      <w:pPr>
        <w:spacing w:after="0" w:line="240" w:lineRule="auto"/>
        <w:rPr>
          <w:rFonts w:ascii="Arial" w:hAnsi="Arial"/>
        </w:rPr>
      </w:pPr>
    </w:p>
    <w:p w14:paraId="59F6762F" w14:textId="77777777" w:rsidR="00D05634" w:rsidRDefault="00D05634" w:rsidP="00D05634">
      <w:pPr>
        <w:spacing w:after="0" w:line="240" w:lineRule="auto"/>
        <w:rPr>
          <w:rFonts w:ascii="Arial" w:hAnsi="Arial"/>
        </w:rPr>
      </w:pPr>
      <w:r>
        <w:rPr>
          <w:rFonts w:ascii="Arial" w:hAnsi="Arial"/>
        </w:rPr>
        <w:t xml:space="preserve">The discharge progress note may be considered either an administrative activity, which is not billable to Medi-Cal, or part of a final service activity that is billable to Medi-Cal.  Providers will follow the guidelines found in the </w:t>
      </w:r>
      <w:r>
        <w:rPr>
          <w:rFonts w:ascii="Arial" w:hAnsi="Arial"/>
          <w:b/>
        </w:rPr>
        <w:t>Service Code/</w:t>
      </w:r>
      <w:proofErr w:type="spellStart"/>
      <w:r>
        <w:rPr>
          <w:rFonts w:ascii="Arial" w:hAnsi="Arial"/>
          <w:b/>
        </w:rPr>
        <w:t>Definitions</w:t>
      </w:r>
      <w:r w:rsidRPr="00BB74D5">
        <w:rPr>
          <w:rFonts w:ascii="Arial" w:hAnsi="Arial"/>
          <w:b/>
        </w:rPr>
        <w:t>Training</w:t>
      </w:r>
      <w:proofErr w:type="spellEnd"/>
      <w:r w:rsidRPr="00BB74D5">
        <w:rPr>
          <w:rFonts w:ascii="Arial" w:hAnsi="Arial"/>
          <w:b/>
        </w:rPr>
        <w:t xml:space="preserve"> Guide </w:t>
      </w:r>
      <w:r>
        <w:rPr>
          <w:rFonts w:ascii="Arial" w:hAnsi="Arial"/>
        </w:rPr>
        <w:t>for determining whether a service is billable or nonbillable.</w:t>
      </w:r>
    </w:p>
    <w:p w14:paraId="5F20E0CF" w14:textId="77777777" w:rsidR="00D05634" w:rsidRDefault="00D05634" w:rsidP="00D05634">
      <w:pPr>
        <w:spacing w:after="0" w:line="240" w:lineRule="auto"/>
        <w:rPr>
          <w:rFonts w:ascii="Arial" w:hAnsi="Arial"/>
        </w:rPr>
      </w:pPr>
    </w:p>
    <w:p w14:paraId="0B5D4915" w14:textId="77777777" w:rsidR="00D05634" w:rsidRDefault="00D05634" w:rsidP="00D05634">
      <w:pPr>
        <w:spacing w:after="0" w:line="240" w:lineRule="auto"/>
        <w:rPr>
          <w:rFonts w:ascii="Arial" w:hAnsi="Arial"/>
        </w:rPr>
      </w:pPr>
      <w:r>
        <w:rPr>
          <w:rFonts w:ascii="Arial" w:hAnsi="Arial"/>
        </w:rPr>
        <w:lastRenderedPageBreak/>
        <w:t>For Avatar CWS users, the progress note type to select is “Discharge”, and this is selected for both billable and non-billable services.</w:t>
      </w:r>
    </w:p>
    <w:p w14:paraId="14C962FA" w14:textId="77777777" w:rsidR="00D05634" w:rsidRDefault="00D05634" w:rsidP="00D05634">
      <w:pPr>
        <w:spacing w:after="0" w:line="240" w:lineRule="auto"/>
        <w:rPr>
          <w:rFonts w:ascii="Arial" w:hAnsi="Arial"/>
        </w:rPr>
      </w:pPr>
    </w:p>
    <w:p w14:paraId="0CE6DB14" w14:textId="77777777" w:rsidR="00D05634" w:rsidRPr="0067458C" w:rsidRDefault="00D05634" w:rsidP="00D05634">
      <w:pPr>
        <w:spacing w:after="0" w:line="240" w:lineRule="auto"/>
        <w:rPr>
          <w:rFonts w:ascii="Arial" w:hAnsi="Arial"/>
          <w:u w:val="single"/>
        </w:rPr>
      </w:pPr>
      <w:r w:rsidRPr="0067458C">
        <w:rPr>
          <w:rFonts w:ascii="Arial" w:hAnsi="Arial"/>
          <w:u w:val="single"/>
        </w:rPr>
        <w:t>Discharge Note Timelines</w:t>
      </w:r>
    </w:p>
    <w:p w14:paraId="0F6F41F8" w14:textId="77777777" w:rsidR="00D05634" w:rsidRDefault="00D05634" w:rsidP="00D05634">
      <w:pPr>
        <w:spacing w:after="0" w:line="240" w:lineRule="auto"/>
        <w:rPr>
          <w:rFonts w:ascii="Arial" w:hAnsi="Arial"/>
        </w:rPr>
      </w:pPr>
      <w:r>
        <w:rPr>
          <w:rFonts w:ascii="Arial" w:hAnsi="Arial"/>
        </w:rPr>
        <w:t>When discharge is a planned part of services, discharge documentation must be entered into the clinical record within 3 days after the client’s last service.  For administrative discharge due to lack of contact, once the case is determined to be appropriate for discharge by clinical supervisors/managers</w:t>
      </w:r>
      <w:r w:rsidRPr="004A2D54">
        <w:rPr>
          <w:rFonts w:ascii="Arial" w:hAnsi="Arial"/>
        </w:rPr>
        <w:t xml:space="preserve">, </w:t>
      </w:r>
      <w:r>
        <w:rPr>
          <w:rFonts w:ascii="Arial" w:hAnsi="Arial"/>
        </w:rPr>
        <w:t>discharge documentation must be entered into the clinical record within 3 days of the final decision to discharge. For cases where there has been no contact for 120 days, the case must be closed</w:t>
      </w:r>
      <w:r w:rsidR="00512105">
        <w:rPr>
          <w:rFonts w:ascii="Arial" w:hAnsi="Arial"/>
        </w:rPr>
        <w:t>.</w:t>
      </w:r>
      <w:r w:rsidR="00512105" w:rsidRPr="00512105">
        <w:rPr>
          <w:rFonts w:ascii="Arial" w:hAnsi="Arial"/>
        </w:rPr>
        <w:t xml:space="preserve"> </w:t>
      </w:r>
      <w:r w:rsidR="00512105">
        <w:rPr>
          <w:rFonts w:ascii="Arial" w:hAnsi="Arial"/>
        </w:rPr>
        <w:t xml:space="preserve">Providers must adhere to the no contact timelines outlined in their Contracts </w:t>
      </w:r>
      <w:r w:rsidR="0094005F">
        <w:rPr>
          <w:rFonts w:ascii="Arial" w:hAnsi="Arial"/>
        </w:rPr>
        <w:t xml:space="preserve">when </w:t>
      </w:r>
      <w:proofErr w:type="gramStart"/>
      <w:r w:rsidR="0094005F">
        <w:rPr>
          <w:rFonts w:ascii="Arial" w:hAnsi="Arial"/>
        </w:rPr>
        <w:t xml:space="preserve">considering </w:t>
      </w:r>
      <w:r w:rsidR="00512105">
        <w:rPr>
          <w:rFonts w:ascii="Arial" w:hAnsi="Arial"/>
        </w:rPr>
        <w:t xml:space="preserve"> discharges</w:t>
      </w:r>
      <w:proofErr w:type="gramEnd"/>
      <w:r w:rsidR="0094005F">
        <w:rPr>
          <w:rFonts w:ascii="Arial" w:hAnsi="Arial"/>
        </w:rPr>
        <w:t>,</w:t>
      </w:r>
      <w:r w:rsidR="00512105">
        <w:rPr>
          <w:rFonts w:ascii="Arial" w:hAnsi="Arial"/>
        </w:rPr>
        <w:t xml:space="preserve"> </w:t>
      </w:r>
      <w:r w:rsidR="0094005F">
        <w:rPr>
          <w:rFonts w:ascii="Arial" w:hAnsi="Arial"/>
        </w:rPr>
        <w:t>as those timelines may be more stringent</w:t>
      </w:r>
      <w:r w:rsidR="00512105">
        <w:rPr>
          <w:rFonts w:ascii="Arial" w:hAnsi="Arial"/>
        </w:rPr>
        <w:t xml:space="preserve">. </w:t>
      </w:r>
    </w:p>
    <w:p w14:paraId="3A42874F" w14:textId="77777777" w:rsidR="00D05634" w:rsidRPr="00316E94" w:rsidRDefault="00D05634" w:rsidP="00D05634">
      <w:pPr>
        <w:spacing w:after="0" w:line="240" w:lineRule="auto"/>
        <w:rPr>
          <w:rFonts w:ascii="Arial" w:hAnsi="Arial"/>
        </w:rPr>
      </w:pPr>
    </w:p>
    <w:p w14:paraId="254DAEBA" w14:textId="77777777" w:rsidR="00D05634" w:rsidRDefault="00D05634" w:rsidP="00D05634">
      <w:pPr>
        <w:spacing w:after="0" w:line="240" w:lineRule="auto"/>
        <w:rPr>
          <w:rFonts w:ascii="Arial" w:hAnsi="Arial"/>
          <w:u w:val="single"/>
        </w:rPr>
      </w:pPr>
      <w:r>
        <w:rPr>
          <w:rFonts w:ascii="Arial" w:hAnsi="Arial"/>
          <w:u w:val="single"/>
        </w:rPr>
        <w:t>Update of CSI Information</w:t>
      </w:r>
    </w:p>
    <w:p w14:paraId="3034E4EC" w14:textId="77777777" w:rsidR="00D05634" w:rsidRDefault="00D05634" w:rsidP="00D05634">
      <w:pPr>
        <w:spacing w:after="0" w:line="240" w:lineRule="auto"/>
        <w:rPr>
          <w:rFonts w:ascii="Arial" w:hAnsi="Arial"/>
        </w:rPr>
      </w:pPr>
      <w:r>
        <w:rPr>
          <w:rFonts w:ascii="Arial" w:hAnsi="Arial"/>
        </w:rPr>
        <w:t>Complete an update of CSI Information, indicating that the type of update is “discharge”.</w:t>
      </w:r>
    </w:p>
    <w:p w14:paraId="783EF2EB" w14:textId="77777777" w:rsidR="00D05634" w:rsidRPr="009223E6" w:rsidRDefault="00D05634" w:rsidP="00D05634">
      <w:pPr>
        <w:spacing w:after="0" w:line="240" w:lineRule="auto"/>
        <w:rPr>
          <w:rFonts w:ascii="Arial" w:hAnsi="Arial"/>
        </w:rPr>
      </w:pPr>
    </w:p>
    <w:p w14:paraId="21FA22A0" w14:textId="77777777" w:rsidR="00D05634" w:rsidRDefault="00D05634" w:rsidP="00D05634">
      <w:pPr>
        <w:spacing w:after="0" w:line="240" w:lineRule="auto"/>
        <w:rPr>
          <w:rFonts w:ascii="Arial" w:hAnsi="Arial"/>
          <w:u w:val="single"/>
        </w:rPr>
      </w:pPr>
      <w:r>
        <w:rPr>
          <w:rFonts w:ascii="Arial" w:hAnsi="Arial"/>
          <w:u w:val="single"/>
        </w:rPr>
        <w:t>Submission of Discharge Diagnosis</w:t>
      </w:r>
    </w:p>
    <w:p w14:paraId="140F1457" w14:textId="77777777" w:rsidR="00D05634" w:rsidRDefault="00D05634" w:rsidP="00D05634">
      <w:pPr>
        <w:spacing w:after="0" w:line="240" w:lineRule="auto"/>
        <w:rPr>
          <w:rFonts w:ascii="Arial" w:hAnsi="Arial"/>
        </w:rPr>
      </w:pPr>
      <w:r>
        <w:rPr>
          <w:rFonts w:ascii="Arial" w:hAnsi="Arial"/>
        </w:rPr>
        <w:t xml:space="preserve">Complete an update of the </w:t>
      </w:r>
      <w:proofErr w:type="gramStart"/>
      <w:r>
        <w:rPr>
          <w:rFonts w:ascii="Arial" w:hAnsi="Arial"/>
        </w:rPr>
        <w:t>Diagnosis</w:t>
      </w:r>
      <w:proofErr w:type="gramEnd"/>
      <w:r>
        <w:rPr>
          <w:rFonts w:ascii="Arial" w:hAnsi="Arial"/>
        </w:rPr>
        <w:t>, indicating that the type of update is “discharge”.</w:t>
      </w:r>
    </w:p>
    <w:p w14:paraId="218C1AA2" w14:textId="77777777" w:rsidR="00D05634" w:rsidRPr="00A64270" w:rsidRDefault="00D05634" w:rsidP="00D05634">
      <w:pPr>
        <w:spacing w:after="0" w:line="240" w:lineRule="auto"/>
        <w:rPr>
          <w:rFonts w:ascii="Arial" w:hAnsi="Arial"/>
        </w:rPr>
      </w:pPr>
    </w:p>
    <w:p w14:paraId="16E68834" w14:textId="77777777" w:rsidR="00D05634" w:rsidRDefault="00D05634" w:rsidP="00D05634">
      <w:pPr>
        <w:spacing w:after="0" w:line="240" w:lineRule="auto"/>
        <w:rPr>
          <w:rFonts w:ascii="Arial" w:hAnsi="Arial"/>
          <w:u w:val="single"/>
        </w:rPr>
      </w:pPr>
      <w:r>
        <w:rPr>
          <w:rFonts w:ascii="Arial" w:hAnsi="Arial"/>
          <w:u w:val="single"/>
        </w:rPr>
        <w:t>Closure of Episode</w:t>
      </w:r>
    </w:p>
    <w:p w14:paraId="2503F415" w14:textId="77777777" w:rsidR="00D05634" w:rsidRDefault="00D05634" w:rsidP="00D05634">
      <w:pPr>
        <w:spacing w:after="0" w:line="240" w:lineRule="auto"/>
        <w:rPr>
          <w:rFonts w:ascii="Arial" w:hAnsi="Arial"/>
        </w:rPr>
      </w:pPr>
      <w:r>
        <w:rPr>
          <w:rFonts w:ascii="Arial" w:hAnsi="Arial"/>
        </w:rPr>
        <w:t>Avatar episodes must be closed within 14 days of discharge.  To ensure completeness of documentation in the clinical record, please complete the discharge progress note, update of CSI information, and submission of discharge diagnosis prior to the closure of the episode in Avatar.</w:t>
      </w:r>
    </w:p>
    <w:p w14:paraId="23B77E28" w14:textId="77777777" w:rsidR="00D05634" w:rsidRDefault="00D05634" w:rsidP="00D05634">
      <w:pPr>
        <w:spacing w:after="0" w:line="240" w:lineRule="auto"/>
        <w:rPr>
          <w:rFonts w:ascii="Arial" w:hAnsi="Arial"/>
        </w:rPr>
      </w:pPr>
    </w:p>
    <w:p w14:paraId="516F84AB" w14:textId="77777777" w:rsidR="00D05634" w:rsidRDefault="00D05634" w:rsidP="00D05634">
      <w:pPr>
        <w:spacing w:after="0" w:line="240" w:lineRule="auto"/>
        <w:rPr>
          <w:rFonts w:ascii="Arial" w:hAnsi="Arial"/>
          <w:u w:val="single"/>
        </w:rPr>
      </w:pPr>
      <w:r>
        <w:rPr>
          <w:rFonts w:ascii="Arial" w:hAnsi="Arial"/>
          <w:u w:val="single"/>
        </w:rPr>
        <w:t>Billing for Discharge</w:t>
      </w:r>
    </w:p>
    <w:p w14:paraId="3E41808B" w14:textId="77777777" w:rsidR="00D05634" w:rsidRPr="004A2D54" w:rsidRDefault="00D05634" w:rsidP="00D05634">
      <w:pPr>
        <w:spacing w:after="0" w:line="240" w:lineRule="auto"/>
        <w:rPr>
          <w:rFonts w:ascii="Arial" w:hAnsi="Arial"/>
        </w:rPr>
      </w:pPr>
      <w:r>
        <w:rPr>
          <w:rFonts w:ascii="Arial" w:hAnsi="Arial"/>
        </w:rPr>
        <w:t>If the discharge completion is completed as part of a billable service, it may be billed.  However, if discharge is not completed as part of a billable service, as in completing administrative discharges, this time is not billable.</w:t>
      </w:r>
    </w:p>
    <w:p w14:paraId="71ED27F7" w14:textId="77777777" w:rsidR="001A1FFE" w:rsidRDefault="001A1FFE" w:rsidP="00D05634">
      <w:pPr>
        <w:spacing w:after="0" w:line="240" w:lineRule="auto"/>
        <w:rPr>
          <w:rFonts w:ascii="Arial" w:hAnsi="Arial"/>
        </w:rPr>
      </w:pPr>
    </w:p>
    <w:p w14:paraId="322315E8" w14:textId="77777777" w:rsidR="004E4392" w:rsidRPr="00512105" w:rsidRDefault="004E4392" w:rsidP="00D05634">
      <w:pPr>
        <w:spacing w:after="0" w:line="240" w:lineRule="auto"/>
        <w:rPr>
          <w:rFonts w:ascii="Arial" w:hAnsi="Arial"/>
          <w:u w:val="single"/>
        </w:rPr>
      </w:pPr>
      <w:r w:rsidRPr="00512105">
        <w:rPr>
          <w:rFonts w:ascii="Arial" w:hAnsi="Arial"/>
          <w:u w:val="single"/>
        </w:rPr>
        <w:t>NOABD</w:t>
      </w:r>
    </w:p>
    <w:p w14:paraId="070C43C5" w14:textId="77777777" w:rsidR="0023605B" w:rsidRDefault="004E4392" w:rsidP="004E4392">
      <w:pPr>
        <w:spacing w:after="0" w:line="240" w:lineRule="auto"/>
        <w:rPr>
          <w:rFonts w:ascii="Arial" w:hAnsi="Arial"/>
        </w:rPr>
      </w:pPr>
      <w:r w:rsidRPr="005547AB">
        <w:rPr>
          <w:rFonts w:ascii="Arial" w:hAnsi="Arial"/>
        </w:rPr>
        <w:t xml:space="preserve">NOABD </w:t>
      </w:r>
      <w:r w:rsidR="0023605B" w:rsidRPr="00512105">
        <w:rPr>
          <w:rFonts w:ascii="Arial" w:hAnsi="Arial"/>
        </w:rPr>
        <w:t>Termination of Previously Authorized Services</w:t>
      </w:r>
      <w:r w:rsidRPr="005547AB">
        <w:rPr>
          <w:rFonts w:ascii="Arial" w:hAnsi="Arial"/>
        </w:rPr>
        <w:t xml:space="preserve"> </w:t>
      </w:r>
      <w:r w:rsidR="0023605B" w:rsidRPr="002807DC">
        <w:rPr>
          <w:rFonts w:ascii="Arial" w:hAnsi="Arial"/>
        </w:rPr>
        <w:t>is</w:t>
      </w:r>
      <w:r>
        <w:rPr>
          <w:rFonts w:ascii="Arial" w:hAnsi="Arial"/>
        </w:rPr>
        <w:t xml:space="preserve"> provided</w:t>
      </w:r>
      <w:r w:rsidR="0023605B">
        <w:rPr>
          <w:rFonts w:ascii="Arial" w:hAnsi="Arial"/>
        </w:rPr>
        <w:t xml:space="preserve"> to the beneficiary when the M</w:t>
      </w:r>
      <w:r>
        <w:rPr>
          <w:rFonts w:ascii="Arial" w:hAnsi="Arial"/>
        </w:rPr>
        <w:t>ental Health Plan</w:t>
      </w:r>
      <w:r w:rsidR="0023605B">
        <w:rPr>
          <w:rFonts w:ascii="Arial" w:hAnsi="Arial"/>
        </w:rPr>
        <w:t xml:space="preserve"> terminates a previously authorized service. </w:t>
      </w:r>
      <w:r>
        <w:rPr>
          <w:rFonts w:ascii="Arial" w:hAnsi="Arial"/>
        </w:rPr>
        <w:t xml:space="preserve">Please note that a </w:t>
      </w:r>
      <w:r w:rsidRPr="004E4392">
        <w:rPr>
          <w:rFonts w:ascii="Arial" w:hAnsi="Arial"/>
        </w:rPr>
        <w:t>Termination letter is not req</w:t>
      </w:r>
      <w:r>
        <w:rPr>
          <w:rFonts w:ascii="Arial" w:hAnsi="Arial"/>
        </w:rPr>
        <w:t xml:space="preserve">uired if case is closing due to </w:t>
      </w:r>
      <w:r w:rsidRPr="004E4392">
        <w:rPr>
          <w:rFonts w:ascii="Arial" w:hAnsi="Arial"/>
        </w:rPr>
        <w:t>successfully meeting treatme</w:t>
      </w:r>
      <w:r>
        <w:rPr>
          <w:rFonts w:ascii="Arial" w:hAnsi="Arial"/>
        </w:rPr>
        <w:t>nt goals and at the Client Plan expiration date and</w:t>
      </w:r>
      <w:r w:rsidRPr="004E4392">
        <w:rPr>
          <w:rFonts w:ascii="Arial" w:hAnsi="Arial"/>
        </w:rPr>
        <w:t xml:space="preserve"> beneficiary </w:t>
      </w:r>
      <w:proofErr w:type="gramStart"/>
      <w:r w:rsidRPr="004E4392">
        <w:rPr>
          <w:rFonts w:ascii="Arial" w:hAnsi="Arial"/>
        </w:rPr>
        <w:t>is in agreement</w:t>
      </w:r>
      <w:proofErr w:type="gramEnd"/>
      <w:r w:rsidRPr="004E4392">
        <w:rPr>
          <w:rFonts w:ascii="Arial" w:hAnsi="Arial"/>
        </w:rPr>
        <w:t xml:space="preserve"> to close</w:t>
      </w:r>
    </w:p>
    <w:p w14:paraId="7C9091E9" w14:textId="77777777" w:rsidR="00D05634" w:rsidRDefault="00D05634" w:rsidP="00D05634">
      <w:pPr>
        <w:spacing w:after="0" w:line="240" w:lineRule="auto"/>
        <w:rPr>
          <w:rFonts w:ascii="Arial" w:hAnsi="Arial"/>
        </w:rPr>
      </w:pPr>
    </w:p>
    <w:p w14:paraId="513AA46F" w14:textId="77777777" w:rsidR="00437238" w:rsidRPr="00E1015F" w:rsidRDefault="00437238" w:rsidP="00E1015F">
      <w:pPr>
        <w:pStyle w:val="Heading1"/>
      </w:pPr>
      <w:r w:rsidRPr="00E1015F">
        <w:t>REFERENCE(S)/ATTACHMENTS:</w:t>
      </w:r>
    </w:p>
    <w:p w14:paraId="51C31BDA" w14:textId="77777777" w:rsidR="00437238" w:rsidRPr="003A01D6" w:rsidRDefault="00437238" w:rsidP="00F72490">
      <w:pPr>
        <w:spacing w:after="0" w:line="240" w:lineRule="auto"/>
        <w:ind w:left="360" w:hanging="360"/>
        <w:rPr>
          <w:rFonts w:ascii="Arial" w:hAnsi="Arial"/>
        </w:rPr>
      </w:pPr>
    </w:p>
    <w:p w14:paraId="451058C1" w14:textId="77777777" w:rsidR="00F13526" w:rsidRDefault="00D05634" w:rsidP="00D05634">
      <w:pPr>
        <w:numPr>
          <w:ilvl w:val="0"/>
          <w:numId w:val="8"/>
        </w:numPr>
        <w:spacing w:after="0" w:line="240" w:lineRule="auto"/>
        <w:ind w:left="360"/>
        <w:rPr>
          <w:rFonts w:ascii="Arial" w:hAnsi="Arial"/>
        </w:rPr>
      </w:pPr>
      <w:r>
        <w:rPr>
          <w:rFonts w:ascii="Arial" w:hAnsi="Arial"/>
        </w:rPr>
        <w:t>None</w:t>
      </w:r>
    </w:p>
    <w:p w14:paraId="1F29C6CC" w14:textId="77777777" w:rsidR="00D05634" w:rsidRPr="003A01D6" w:rsidRDefault="00D05634" w:rsidP="00F72490">
      <w:pPr>
        <w:pStyle w:val="ListParagraph"/>
        <w:spacing w:after="0" w:line="240" w:lineRule="auto"/>
        <w:ind w:left="0"/>
        <w:rPr>
          <w:rFonts w:ascii="Arial" w:hAnsi="Arial"/>
        </w:rPr>
      </w:pPr>
    </w:p>
    <w:p w14:paraId="20BC3C0E" w14:textId="77777777" w:rsidR="00437238" w:rsidRPr="00E1015F" w:rsidRDefault="00437238" w:rsidP="00E1015F">
      <w:pPr>
        <w:pStyle w:val="Heading2"/>
      </w:pPr>
      <w:r w:rsidRPr="00E1015F">
        <w:t>RELATED POLICIES:</w:t>
      </w:r>
    </w:p>
    <w:p w14:paraId="7058A48C" w14:textId="77777777" w:rsidR="00437238" w:rsidRPr="003A01D6" w:rsidRDefault="00437238" w:rsidP="003A01D6">
      <w:pPr>
        <w:spacing w:after="0" w:line="240" w:lineRule="auto"/>
        <w:ind w:left="360" w:hanging="360"/>
        <w:rPr>
          <w:rFonts w:ascii="Arial" w:hAnsi="Arial"/>
        </w:rPr>
      </w:pPr>
    </w:p>
    <w:p w14:paraId="13AD894C" w14:textId="77777777" w:rsidR="00D05634" w:rsidRDefault="00D05634" w:rsidP="00D05634">
      <w:pPr>
        <w:numPr>
          <w:ilvl w:val="0"/>
          <w:numId w:val="8"/>
        </w:numPr>
        <w:spacing w:after="0" w:line="240" w:lineRule="auto"/>
        <w:ind w:left="360"/>
        <w:rPr>
          <w:rFonts w:ascii="Arial" w:hAnsi="Arial"/>
        </w:rPr>
      </w:pPr>
      <w:r>
        <w:rPr>
          <w:rFonts w:ascii="Arial" w:hAnsi="Arial"/>
        </w:rPr>
        <w:t>QM 10-30 Progress Notes</w:t>
      </w:r>
    </w:p>
    <w:p w14:paraId="0378D499" w14:textId="77777777" w:rsidR="004E4392" w:rsidRDefault="004E4392" w:rsidP="00D05634">
      <w:pPr>
        <w:numPr>
          <w:ilvl w:val="0"/>
          <w:numId w:val="8"/>
        </w:numPr>
        <w:spacing w:after="0" w:line="240" w:lineRule="auto"/>
        <w:ind w:left="360"/>
        <w:rPr>
          <w:rFonts w:ascii="Arial" w:hAnsi="Arial"/>
        </w:rPr>
      </w:pPr>
      <w:r>
        <w:rPr>
          <w:rFonts w:ascii="Arial" w:hAnsi="Arial"/>
        </w:rPr>
        <w:t>QM  02-01 Notice of Adverse Benefit Determination</w:t>
      </w:r>
    </w:p>
    <w:p w14:paraId="4D809699" w14:textId="77777777" w:rsidR="003A01D6" w:rsidRPr="003A01D6" w:rsidRDefault="003A01D6" w:rsidP="003A01D6">
      <w:pPr>
        <w:pStyle w:val="ListParagraph"/>
        <w:spacing w:after="0" w:line="240" w:lineRule="auto"/>
        <w:ind w:left="360" w:hanging="360"/>
        <w:rPr>
          <w:rFonts w:ascii="Arial" w:hAnsi="Arial"/>
        </w:rPr>
      </w:pPr>
    </w:p>
    <w:p w14:paraId="591E3B14" w14:textId="77777777" w:rsidR="00437238" w:rsidRPr="00E1015F" w:rsidRDefault="005547AB" w:rsidP="00E1015F">
      <w:pPr>
        <w:pStyle w:val="Heading3"/>
      </w:pPr>
      <w:r w:rsidRPr="00E1015F">
        <w:t>DISTRIBUTION: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80"/>
        <w:gridCol w:w="3537"/>
        <w:gridCol w:w="1080"/>
        <w:gridCol w:w="3546"/>
      </w:tblGrid>
      <w:tr w:rsidR="00437238" w:rsidRPr="00742528" w14:paraId="43684AAE" w14:textId="77777777" w:rsidTr="001A1FFE">
        <w:tc>
          <w:tcPr>
            <w:tcW w:w="1080" w:type="dxa"/>
            <w:tcMar>
              <w:left w:w="115" w:type="dxa"/>
              <w:right w:w="115" w:type="dxa"/>
            </w:tcMar>
          </w:tcPr>
          <w:p w14:paraId="77CD63C0" w14:textId="77777777" w:rsidR="00437238" w:rsidRPr="00742528" w:rsidRDefault="00437238" w:rsidP="001A1FFE">
            <w:pPr>
              <w:spacing w:after="0" w:line="240" w:lineRule="auto"/>
              <w:jc w:val="center"/>
              <w:rPr>
                <w:rFonts w:ascii="Arial" w:hAnsi="Arial"/>
                <w:b/>
              </w:rPr>
            </w:pPr>
            <w:r w:rsidRPr="00742528">
              <w:rPr>
                <w:rFonts w:ascii="Arial" w:hAnsi="Arial"/>
                <w:b/>
              </w:rPr>
              <w:t>Enter X</w:t>
            </w:r>
          </w:p>
          <w:p w14:paraId="1D78B5C3" w14:textId="77777777" w:rsidR="00EB2925" w:rsidRPr="00742528" w:rsidRDefault="00EB2925" w:rsidP="001A1FFE">
            <w:pPr>
              <w:spacing w:after="0" w:line="240" w:lineRule="auto"/>
              <w:jc w:val="center"/>
              <w:rPr>
                <w:rFonts w:ascii="Arial" w:hAnsi="Arial"/>
                <w:b/>
              </w:rPr>
            </w:pPr>
          </w:p>
        </w:tc>
        <w:tc>
          <w:tcPr>
            <w:tcW w:w="3537" w:type="dxa"/>
            <w:tcMar>
              <w:left w:w="115" w:type="dxa"/>
              <w:right w:w="115" w:type="dxa"/>
            </w:tcMar>
          </w:tcPr>
          <w:p w14:paraId="3AE1BACE" w14:textId="77777777" w:rsidR="00437238" w:rsidRPr="00742528" w:rsidRDefault="00437238" w:rsidP="001A1FFE">
            <w:pPr>
              <w:spacing w:after="0" w:line="240" w:lineRule="auto"/>
              <w:rPr>
                <w:rFonts w:ascii="Arial" w:hAnsi="Arial"/>
                <w:b/>
              </w:rPr>
            </w:pPr>
            <w:r w:rsidRPr="00742528">
              <w:rPr>
                <w:rFonts w:ascii="Arial" w:hAnsi="Arial"/>
                <w:b/>
              </w:rPr>
              <w:t>DL Name</w:t>
            </w:r>
          </w:p>
        </w:tc>
        <w:tc>
          <w:tcPr>
            <w:tcW w:w="1080" w:type="dxa"/>
            <w:tcMar>
              <w:left w:w="115" w:type="dxa"/>
              <w:right w:w="115" w:type="dxa"/>
            </w:tcMar>
          </w:tcPr>
          <w:p w14:paraId="00C836D3" w14:textId="77777777" w:rsidR="00437238" w:rsidRPr="00742528" w:rsidRDefault="00437238" w:rsidP="001A1FFE">
            <w:pPr>
              <w:spacing w:after="0" w:line="240" w:lineRule="auto"/>
              <w:jc w:val="center"/>
              <w:rPr>
                <w:rFonts w:ascii="Arial" w:hAnsi="Arial"/>
                <w:b/>
              </w:rPr>
            </w:pPr>
            <w:r w:rsidRPr="00742528">
              <w:rPr>
                <w:rFonts w:ascii="Arial" w:hAnsi="Arial"/>
                <w:b/>
              </w:rPr>
              <w:t>Enter X</w:t>
            </w:r>
          </w:p>
        </w:tc>
        <w:tc>
          <w:tcPr>
            <w:tcW w:w="3546" w:type="dxa"/>
            <w:tcMar>
              <w:left w:w="115" w:type="dxa"/>
              <w:right w:w="115" w:type="dxa"/>
            </w:tcMar>
          </w:tcPr>
          <w:p w14:paraId="1BEBE2CB" w14:textId="77777777" w:rsidR="00437238" w:rsidRPr="00742528" w:rsidRDefault="00437238" w:rsidP="001A1FFE">
            <w:pPr>
              <w:spacing w:after="0" w:line="240" w:lineRule="auto"/>
              <w:rPr>
                <w:rFonts w:ascii="Arial" w:hAnsi="Arial"/>
                <w:b/>
              </w:rPr>
            </w:pPr>
            <w:r w:rsidRPr="00742528">
              <w:rPr>
                <w:rFonts w:ascii="Arial" w:hAnsi="Arial"/>
                <w:b/>
              </w:rPr>
              <w:t>DL Name</w:t>
            </w:r>
          </w:p>
        </w:tc>
      </w:tr>
      <w:tr w:rsidR="00D05634" w:rsidRPr="00742528" w14:paraId="4CC6FB37" w14:textId="77777777" w:rsidTr="001A1FFE">
        <w:tc>
          <w:tcPr>
            <w:tcW w:w="1080" w:type="dxa"/>
            <w:tcMar>
              <w:left w:w="115" w:type="dxa"/>
              <w:right w:w="115" w:type="dxa"/>
            </w:tcMar>
          </w:tcPr>
          <w:p w14:paraId="1305DEC0" w14:textId="77777777" w:rsidR="00D05634" w:rsidRPr="00742528" w:rsidRDefault="00D05634" w:rsidP="001A1FFE">
            <w:pPr>
              <w:spacing w:after="0" w:line="240" w:lineRule="auto"/>
              <w:jc w:val="center"/>
              <w:rPr>
                <w:rFonts w:ascii="Arial" w:hAnsi="Arial"/>
              </w:rPr>
            </w:pPr>
            <w:r w:rsidRPr="00742528">
              <w:rPr>
                <w:rFonts w:ascii="Arial" w:hAnsi="Arial"/>
                <w:b/>
              </w:rPr>
              <w:t>X</w:t>
            </w:r>
          </w:p>
        </w:tc>
        <w:tc>
          <w:tcPr>
            <w:tcW w:w="3537" w:type="dxa"/>
            <w:tcMar>
              <w:left w:w="115" w:type="dxa"/>
              <w:right w:w="115" w:type="dxa"/>
            </w:tcMar>
          </w:tcPr>
          <w:p w14:paraId="633F2C56" w14:textId="77777777" w:rsidR="00D05634" w:rsidRPr="003A01D6" w:rsidRDefault="00D05634" w:rsidP="001A1FFE">
            <w:pPr>
              <w:spacing w:after="0" w:line="240" w:lineRule="auto"/>
              <w:rPr>
                <w:rFonts w:ascii="Arial" w:hAnsi="Arial"/>
              </w:rPr>
            </w:pPr>
            <w:r w:rsidRPr="003A01D6">
              <w:rPr>
                <w:rFonts w:ascii="Arial" w:hAnsi="Arial"/>
              </w:rPr>
              <w:t>Mental Health Staff</w:t>
            </w:r>
          </w:p>
        </w:tc>
        <w:tc>
          <w:tcPr>
            <w:tcW w:w="1080" w:type="dxa"/>
            <w:tcMar>
              <w:left w:w="115" w:type="dxa"/>
              <w:right w:w="115" w:type="dxa"/>
            </w:tcMar>
          </w:tcPr>
          <w:p w14:paraId="0994CF1D" w14:textId="77777777" w:rsidR="00D05634" w:rsidRPr="00742528" w:rsidRDefault="00D05634" w:rsidP="00D63803">
            <w:pPr>
              <w:spacing w:after="0" w:line="240" w:lineRule="auto"/>
              <w:jc w:val="center"/>
              <w:rPr>
                <w:rFonts w:ascii="Arial" w:hAnsi="Arial"/>
              </w:rPr>
            </w:pPr>
            <w:r w:rsidRPr="00742528">
              <w:rPr>
                <w:rFonts w:ascii="Arial" w:hAnsi="Arial"/>
                <w:b/>
              </w:rPr>
              <w:t>X</w:t>
            </w:r>
          </w:p>
        </w:tc>
        <w:tc>
          <w:tcPr>
            <w:tcW w:w="3546" w:type="dxa"/>
            <w:tcMar>
              <w:left w:w="115" w:type="dxa"/>
              <w:right w:w="115" w:type="dxa"/>
            </w:tcMar>
          </w:tcPr>
          <w:p w14:paraId="2CDA4648" w14:textId="77777777" w:rsidR="00D05634" w:rsidRPr="003A01D6" w:rsidRDefault="00512105" w:rsidP="00D63803">
            <w:pPr>
              <w:spacing w:after="0" w:line="240" w:lineRule="auto"/>
              <w:rPr>
                <w:rFonts w:ascii="Arial" w:hAnsi="Arial"/>
              </w:rPr>
            </w:pPr>
            <w:r>
              <w:rPr>
                <w:rFonts w:ascii="Arial" w:hAnsi="Arial"/>
              </w:rPr>
              <w:t xml:space="preserve">Substance Use Prevention and Treatment </w:t>
            </w:r>
          </w:p>
        </w:tc>
      </w:tr>
      <w:tr w:rsidR="00D05634" w:rsidRPr="00742528" w14:paraId="23C16E86" w14:textId="77777777" w:rsidTr="001A1FFE">
        <w:tc>
          <w:tcPr>
            <w:tcW w:w="1080" w:type="dxa"/>
            <w:tcMar>
              <w:left w:w="115" w:type="dxa"/>
              <w:right w:w="115" w:type="dxa"/>
            </w:tcMar>
          </w:tcPr>
          <w:p w14:paraId="08A05CA1" w14:textId="77777777" w:rsidR="00D05634" w:rsidRPr="00742528" w:rsidRDefault="00D05634" w:rsidP="001A1FFE">
            <w:pPr>
              <w:spacing w:after="0" w:line="240" w:lineRule="auto"/>
              <w:jc w:val="center"/>
              <w:rPr>
                <w:rFonts w:ascii="Arial" w:hAnsi="Arial"/>
              </w:rPr>
            </w:pPr>
            <w:r w:rsidRPr="00742528">
              <w:rPr>
                <w:rFonts w:ascii="Arial" w:hAnsi="Arial"/>
                <w:b/>
              </w:rPr>
              <w:t>X</w:t>
            </w:r>
          </w:p>
        </w:tc>
        <w:tc>
          <w:tcPr>
            <w:tcW w:w="3537" w:type="dxa"/>
            <w:tcMar>
              <w:left w:w="115" w:type="dxa"/>
              <w:right w:w="115" w:type="dxa"/>
            </w:tcMar>
          </w:tcPr>
          <w:p w14:paraId="0B0E3255" w14:textId="77777777" w:rsidR="00D05634" w:rsidRPr="003A01D6" w:rsidRDefault="00D05634" w:rsidP="001A1FFE">
            <w:pPr>
              <w:spacing w:after="0" w:line="240" w:lineRule="auto"/>
              <w:rPr>
                <w:rFonts w:ascii="Arial" w:hAnsi="Arial"/>
              </w:rPr>
            </w:pPr>
            <w:r w:rsidRPr="003A01D6">
              <w:rPr>
                <w:rFonts w:ascii="Arial" w:hAnsi="Arial"/>
              </w:rPr>
              <w:t>Mental Health Treatment Center</w:t>
            </w:r>
          </w:p>
        </w:tc>
        <w:tc>
          <w:tcPr>
            <w:tcW w:w="1080" w:type="dxa"/>
            <w:tcMar>
              <w:left w:w="115" w:type="dxa"/>
              <w:right w:w="115" w:type="dxa"/>
            </w:tcMar>
          </w:tcPr>
          <w:p w14:paraId="3AAD8FF1" w14:textId="77777777" w:rsidR="00D05634" w:rsidRPr="00742528" w:rsidRDefault="00D05634" w:rsidP="00D63803">
            <w:pPr>
              <w:spacing w:after="0" w:line="240" w:lineRule="auto"/>
              <w:jc w:val="center"/>
              <w:rPr>
                <w:rFonts w:ascii="Arial" w:hAnsi="Arial"/>
              </w:rPr>
            </w:pPr>
            <w:r w:rsidRPr="00742528">
              <w:rPr>
                <w:rFonts w:ascii="Arial" w:hAnsi="Arial"/>
                <w:b/>
              </w:rPr>
              <w:t>X</w:t>
            </w:r>
          </w:p>
        </w:tc>
        <w:tc>
          <w:tcPr>
            <w:tcW w:w="3546" w:type="dxa"/>
            <w:tcMar>
              <w:left w:w="115" w:type="dxa"/>
              <w:right w:w="115" w:type="dxa"/>
            </w:tcMar>
          </w:tcPr>
          <w:p w14:paraId="2F77D8B5" w14:textId="77777777" w:rsidR="00D05634" w:rsidRPr="003A01D6" w:rsidRDefault="00D05634" w:rsidP="00D63803">
            <w:pPr>
              <w:spacing w:after="0" w:line="240" w:lineRule="auto"/>
              <w:rPr>
                <w:rFonts w:ascii="Arial" w:hAnsi="Arial"/>
              </w:rPr>
            </w:pPr>
            <w:r w:rsidRPr="003A01D6">
              <w:rPr>
                <w:rFonts w:ascii="Arial" w:hAnsi="Arial"/>
              </w:rPr>
              <w:t>Children’s Contract Providers</w:t>
            </w:r>
          </w:p>
        </w:tc>
      </w:tr>
      <w:tr w:rsidR="00D05634" w:rsidRPr="00742528" w14:paraId="3BCD078F" w14:textId="77777777" w:rsidTr="001A1FFE">
        <w:tc>
          <w:tcPr>
            <w:tcW w:w="1080" w:type="dxa"/>
            <w:tcMar>
              <w:left w:w="115" w:type="dxa"/>
              <w:right w:w="115" w:type="dxa"/>
            </w:tcMar>
          </w:tcPr>
          <w:p w14:paraId="4EB9CB31" w14:textId="77777777" w:rsidR="00D05634" w:rsidRPr="00742528" w:rsidRDefault="00D05634" w:rsidP="001A1FFE">
            <w:pPr>
              <w:spacing w:after="0" w:line="240" w:lineRule="auto"/>
              <w:jc w:val="center"/>
              <w:rPr>
                <w:rFonts w:ascii="Arial" w:hAnsi="Arial"/>
              </w:rPr>
            </w:pPr>
            <w:r w:rsidRPr="00742528">
              <w:rPr>
                <w:rFonts w:ascii="Arial" w:hAnsi="Arial"/>
                <w:b/>
              </w:rPr>
              <w:t>X</w:t>
            </w:r>
          </w:p>
        </w:tc>
        <w:tc>
          <w:tcPr>
            <w:tcW w:w="3537" w:type="dxa"/>
            <w:tcMar>
              <w:left w:w="115" w:type="dxa"/>
              <w:right w:w="115" w:type="dxa"/>
            </w:tcMar>
          </w:tcPr>
          <w:p w14:paraId="48B4FFB3" w14:textId="77777777" w:rsidR="00D05634" w:rsidRPr="003A01D6" w:rsidRDefault="00D05634" w:rsidP="001A1FFE">
            <w:pPr>
              <w:spacing w:after="0" w:line="240" w:lineRule="auto"/>
              <w:rPr>
                <w:rFonts w:ascii="Arial" w:hAnsi="Arial"/>
              </w:rPr>
            </w:pPr>
            <w:r w:rsidRPr="003A01D6">
              <w:rPr>
                <w:rFonts w:ascii="Arial" w:hAnsi="Arial"/>
              </w:rPr>
              <w:t>Adult Contract Providers</w:t>
            </w:r>
          </w:p>
        </w:tc>
        <w:tc>
          <w:tcPr>
            <w:tcW w:w="1080" w:type="dxa"/>
            <w:tcMar>
              <w:left w:w="115" w:type="dxa"/>
              <w:right w:w="115" w:type="dxa"/>
            </w:tcMar>
          </w:tcPr>
          <w:p w14:paraId="62C25B41" w14:textId="77777777" w:rsidR="00D05634" w:rsidRPr="003A01D6" w:rsidRDefault="00D05634" w:rsidP="001A1FFE">
            <w:pPr>
              <w:spacing w:after="0" w:line="240" w:lineRule="auto"/>
              <w:jc w:val="center"/>
              <w:rPr>
                <w:rFonts w:ascii="Arial" w:hAnsi="Arial"/>
              </w:rPr>
            </w:pPr>
          </w:p>
        </w:tc>
        <w:tc>
          <w:tcPr>
            <w:tcW w:w="3546" w:type="dxa"/>
            <w:tcMar>
              <w:left w:w="115" w:type="dxa"/>
              <w:right w:w="115" w:type="dxa"/>
            </w:tcMar>
          </w:tcPr>
          <w:p w14:paraId="5533B5A9" w14:textId="77777777" w:rsidR="00D05634" w:rsidRPr="003A01D6" w:rsidRDefault="00D05634" w:rsidP="001A1FFE">
            <w:pPr>
              <w:spacing w:after="0" w:line="240" w:lineRule="auto"/>
              <w:rPr>
                <w:rFonts w:ascii="Arial" w:hAnsi="Arial"/>
              </w:rPr>
            </w:pPr>
            <w:r w:rsidRPr="003A01D6">
              <w:rPr>
                <w:rFonts w:ascii="Arial" w:hAnsi="Arial"/>
              </w:rPr>
              <w:t>Specific grant/specialty resource</w:t>
            </w:r>
          </w:p>
        </w:tc>
      </w:tr>
      <w:tr w:rsidR="00D05634" w:rsidRPr="00742528" w14:paraId="78D4E8ED" w14:textId="77777777" w:rsidTr="001A1FFE">
        <w:tc>
          <w:tcPr>
            <w:tcW w:w="1080" w:type="dxa"/>
            <w:tcMar>
              <w:left w:w="115" w:type="dxa"/>
              <w:right w:w="115" w:type="dxa"/>
            </w:tcMar>
          </w:tcPr>
          <w:p w14:paraId="43A7D9C2" w14:textId="77777777" w:rsidR="00D05634" w:rsidRPr="00742528" w:rsidRDefault="00D05634" w:rsidP="001A1FFE">
            <w:pPr>
              <w:spacing w:after="0" w:line="240" w:lineRule="auto"/>
              <w:jc w:val="center"/>
              <w:rPr>
                <w:rFonts w:ascii="Arial" w:hAnsi="Arial"/>
              </w:rPr>
            </w:pPr>
          </w:p>
        </w:tc>
        <w:tc>
          <w:tcPr>
            <w:tcW w:w="3537" w:type="dxa"/>
            <w:tcMar>
              <w:left w:w="115" w:type="dxa"/>
              <w:right w:w="115" w:type="dxa"/>
            </w:tcMar>
          </w:tcPr>
          <w:p w14:paraId="1959B508" w14:textId="77777777" w:rsidR="00D05634" w:rsidRPr="003A01D6" w:rsidRDefault="00D05634" w:rsidP="001A1FFE">
            <w:pPr>
              <w:spacing w:after="0" w:line="240" w:lineRule="auto"/>
              <w:rPr>
                <w:rFonts w:ascii="Arial" w:hAnsi="Arial"/>
              </w:rPr>
            </w:pPr>
          </w:p>
        </w:tc>
        <w:tc>
          <w:tcPr>
            <w:tcW w:w="1080" w:type="dxa"/>
            <w:tcMar>
              <w:left w:w="115" w:type="dxa"/>
              <w:right w:w="115" w:type="dxa"/>
            </w:tcMar>
          </w:tcPr>
          <w:p w14:paraId="2182A74F" w14:textId="77777777" w:rsidR="00D05634" w:rsidRPr="003A01D6" w:rsidRDefault="00D05634" w:rsidP="001A1FFE">
            <w:pPr>
              <w:spacing w:after="0" w:line="240" w:lineRule="auto"/>
              <w:jc w:val="center"/>
              <w:rPr>
                <w:rFonts w:ascii="Arial" w:hAnsi="Arial"/>
              </w:rPr>
            </w:pPr>
          </w:p>
        </w:tc>
        <w:tc>
          <w:tcPr>
            <w:tcW w:w="3546" w:type="dxa"/>
            <w:tcMar>
              <w:left w:w="115" w:type="dxa"/>
              <w:right w:w="115" w:type="dxa"/>
            </w:tcMar>
          </w:tcPr>
          <w:p w14:paraId="2C594C67" w14:textId="77777777" w:rsidR="00D05634" w:rsidRPr="003A01D6" w:rsidRDefault="00D05634" w:rsidP="00D63803">
            <w:pPr>
              <w:spacing w:after="0" w:line="240" w:lineRule="auto"/>
              <w:rPr>
                <w:rFonts w:ascii="Arial" w:hAnsi="Arial"/>
              </w:rPr>
            </w:pPr>
          </w:p>
        </w:tc>
      </w:tr>
    </w:tbl>
    <w:p w14:paraId="1AF8C050" w14:textId="77777777" w:rsidR="00EB2925" w:rsidRPr="00C74184" w:rsidRDefault="00EB2925" w:rsidP="000F60D1">
      <w:pPr>
        <w:spacing w:after="0" w:line="240" w:lineRule="auto"/>
        <w:rPr>
          <w:rFonts w:ascii="Arial" w:hAnsi="Arial"/>
        </w:rPr>
      </w:pPr>
    </w:p>
    <w:p w14:paraId="53F68C69" w14:textId="77777777" w:rsidR="00437238" w:rsidRPr="00E1015F" w:rsidRDefault="00437238" w:rsidP="00E1015F">
      <w:pPr>
        <w:pStyle w:val="Heading4"/>
      </w:pPr>
      <w:r w:rsidRPr="00E1015F">
        <w:t>CONTACT INFORMATION:</w:t>
      </w:r>
    </w:p>
    <w:p w14:paraId="34757FB2" w14:textId="77777777" w:rsidR="00437238" w:rsidRPr="00437238" w:rsidRDefault="00437238" w:rsidP="002C3FC2">
      <w:pPr>
        <w:spacing w:after="0" w:line="240" w:lineRule="auto"/>
        <w:ind w:left="360" w:hanging="360"/>
        <w:rPr>
          <w:rFonts w:ascii="Arial" w:hAnsi="Arial"/>
        </w:rPr>
      </w:pPr>
    </w:p>
    <w:p w14:paraId="1AB0AA8E" w14:textId="77777777" w:rsidR="004E4392" w:rsidRPr="004E4392" w:rsidRDefault="004E4392" w:rsidP="004E4392">
      <w:pPr>
        <w:pStyle w:val="ListParagraph"/>
        <w:numPr>
          <w:ilvl w:val="0"/>
          <w:numId w:val="1"/>
        </w:numPr>
        <w:spacing w:after="0" w:line="240" w:lineRule="auto"/>
        <w:rPr>
          <w:rFonts w:ascii="Arial" w:hAnsi="Arial"/>
        </w:rPr>
      </w:pPr>
      <w:r w:rsidRPr="004E4392">
        <w:rPr>
          <w:rFonts w:ascii="Arial" w:hAnsi="Arial"/>
        </w:rPr>
        <w:t>Quality Management Unit</w:t>
      </w:r>
    </w:p>
    <w:p w14:paraId="068BC9BA" w14:textId="55E928FB" w:rsidR="005547AB" w:rsidRPr="002C3FC2" w:rsidRDefault="00512105" w:rsidP="005547AB">
      <w:pPr>
        <w:pStyle w:val="ListParagraph"/>
        <w:spacing w:after="0" w:line="240" w:lineRule="auto"/>
        <w:ind w:left="360"/>
        <w:rPr>
          <w:rFonts w:ascii="Arial" w:hAnsi="Arial"/>
        </w:rPr>
      </w:pPr>
      <w:r>
        <w:rPr>
          <w:rFonts w:ascii="Arial" w:hAnsi="Arial"/>
        </w:rPr>
        <w:t xml:space="preserve">      </w:t>
      </w:r>
      <w:hyperlink r:id="rId13" w:tooltip="send email to quality management" w:history="1">
        <w:r w:rsidR="005547AB" w:rsidRPr="00033FEA">
          <w:rPr>
            <w:rStyle w:val="Hyperlink"/>
            <w:rFonts w:ascii="Arial" w:hAnsi="Arial"/>
          </w:rPr>
          <w:t>QMInformation@saccounty.net</w:t>
        </w:r>
      </w:hyperlink>
    </w:p>
    <w:sectPr w:rsidR="005547AB" w:rsidRPr="002C3FC2" w:rsidSect="004B00A0">
      <w:footerReference w:type="default" r:id="rId14"/>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122F3" w14:textId="77777777" w:rsidR="00A77B38" w:rsidRDefault="00A77B38" w:rsidP="00C26FB2">
      <w:pPr>
        <w:spacing w:after="0" w:line="240" w:lineRule="auto"/>
      </w:pPr>
      <w:r>
        <w:separator/>
      </w:r>
    </w:p>
  </w:endnote>
  <w:endnote w:type="continuationSeparator" w:id="0">
    <w:p w14:paraId="62F7CA3A" w14:textId="77777777" w:rsidR="00A77B38" w:rsidRDefault="00A77B38"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4549" w14:textId="77777777" w:rsidR="00E5652A" w:rsidRDefault="00E5652A" w:rsidP="0090092D">
    <w:pPr>
      <w:spacing w:after="0" w:line="240" w:lineRule="auto"/>
      <w:ind w:right="-43"/>
      <w:jc w:val="center"/>
      <w:rPr>
        <w:rFonts w:ascii="Arial" w:eastAsia="Times New Roman" w:hAnsi="Arial"/>
        <w:sz w:val="12"/>
        <w:szCs w:val="12"/>
        <w:lang w:eastAsia="en-US"/>
      </w:rPr>
    </w:pPr>
    <w:r w:rsidRPr="00E5652A">
      <w:rPr>
        <w:rFonts w:ascii="Arial" w:eastAsia="Times New Roman" w:hAnsi="Arial"/>
        <w:sz w:val="12"/>
        <w:szCs w:val="12"/>
        <w:lang w:eastAsia="en-US"/>
      </w:rPr>
      <w:t xml:space="preserve">Page </w:t>
    </w:r>
    <w:r w:rsidRPr="00E5652A">
      <w:rPr>
        <w:rFonts w:ascii="Arial" w:eastAsia="Times New Roman" w:hAnsi="Arial"/>
        <w:sz w:val="12"/>
        <w:szCs w:val="12"/>
        <w:lang w:eastAsia="en-US"/>
      </w:rPr>
      <w:fldChar w:fldCharType="begin"/>
    </w:r>
    <w:r w:rsidRPr="00E5652A">
      <w:rPr>
        <w:rFonts w:ascii="Arial" w:eastAsia="Times New Roman" w:hAnsi="Arial"/>
        <w:sz w:val="12"/>
        <w:szCs w:val="12"/>
        <w:lang w:eastAsia="en-US"/>
      </w:rPr>
      <w:instrText xml:space="preserve"> PAGE </w:instrText>
    </w:r>
    <w:r w:rsidRPr="00E5652A">
      <w:rPr>
        <w:rFonts w:ascii="Arial" w:eastAsia="Times New Roman" w:hAnsi="Arial"/>
        <w:sz w:val="12"/>
        <w:szCs w:val="12"/>
        <w:lang w:eastAsia="en-US"/>
      </w:rPr>
      <w:fldChar w:fldCharType="separate"/>
    </w:r>
    <w:r w:rsidR="005547AB">
      <w:rPr>
        <w:rFonts w:ascii="Arial" w:eastAsia="Times New Roman" w:hAnsi="Arial"/>
        <w:noProof/>
        <w:sz w:val="12"/>
        <w:szCs w:val="12"/>
        <w:lang w:eastAsia="en-US"/>
      </w:rPr>
      <w:t>2</w:t>
    </w:r>
    <w:r w:rsidRPr="00E5652A">
      <w:rPr>
        <w:rFonts w:ascii="Arial" w:eastAsia="Times New Roman" w:hAnsi="Arial"/>
        <w:sz w:val="12"/>
        <w:szCs w:val="12"/>
        <w:lang w:eastAsia="en-US"/>
      </w:rPr>
      <w:fldChar w:fldCharType="end"/>
    </w:r>
    <w:r w:rsidRPr="00E5652A">
      <w:rPr>
        <w:rFonts w:ascii="Arial" w:eastAsia="Times New Roman" w:hAnsi="Arial"/>
        <w:sz w:val="12"/>
        <w:szCs w:val="12"/>
        <w:lang w:eastAsia="en-US"/>
      </w:rPr>
      <w:t xml:space="preserve"> of </w:t>
    </w:r>
    <w:r w:rsidRPr="00E5652A">
      <w:rPr>
        <w:rFonts w:ascii="Arial" w:eastAsia="Times New Roman" w:hAnsi="Arial"/>
        <w:sz w:val="12"/>
        <w:szCs w:val="12"/>
        <w:lang w:eastAsia="en-US"/>
      </w:rPr>
      <w:fldChar w:fldCharType="begin"/>
    </w:r>
    <w:r w:rsidRPr="00E5652A">
      <w:rPr>
        <w:rFonts w:ascii="Arial" w:eastAsia="Times New Roman" w:hAnsi="Arial"/>
        <w:sz w:val="12"/>
        <w:szCs w:val="12"/>
        <w:lang w:eastAsia="en-US"/>
      </w:rPr>
      <w:instrText xml:space="preserve"> NUMPAGES </w:instrText>
    </w:r>
    <w:r w:rsidRPr="00E5652A">
      <w:rPr>
        <w:rFonts w:ascii="Arial" w:eastAsia="Times New Roman" w:hAnsi="Arial"/>
        <w:sz w:val="12"/>
        <w:szCs w:val="12"/>
        <w:lang w:eastAsia="en-US"/>
      </w:rPr>
      <w:fldChar w:fldCharType="separate"/>
    </w:r>
    <w:r w:rsidR="005547AB">
      <w:rPr>
        <w:rFonts w:ascii="Arial" w:eastAsia="Times New Roman" w:hAnsi="Arial"/>
        <w:noProof/>
        <w:sz w:val="12"/>
        <w:szCs w:val="12"/>
        <w:lang w:eastAsia="en-US"/>
      </w:rPr>
      <w:t>2</w:t>
    </w:r>
    <w:r w:rsidRPr="00E5652A">
      <w:rPr>
        <w:rFonts w:ascii="Arial" w:eastAsia="Times New Roman" w:hAnsi="Arial"/>
        <w:sz w:val="12"/>
        <w:szCs w:val="12"/>
        <w:lang w:eastAsia="en-US"/>
      </w:rPr>
      <w:fldChar w:fldCharType="end"/>
    </w:r>
  </w:p>
  <w:p w14:paraId="6DF3C627" w14:textId="77777777" w:rsidR="001112C2" w:rsidRDefault="001112C2" w:rsidP="0090092D">
    <w:pPr>
      <w:spacing w:after="0" w:line="240" w:lineRule="auto"/>
      <w:ind w:right="-43"/>
      <w:jc w:val="center"/>
      <w:rPr>
        <w:rFonts w:ascii="Arial" w:eastAsia="Times New Roman" w:hAnsi="Arial"/>
        <w:sz w:val="12"/>
        <w:szCs w:val="12"/>
        <w:lang w:eastAsia="en-US"/>
      </w:rPr>
    </w:pPr>
  </w:p>
  <w:p w14:paraId="3C05AEB2" w14:textId="77777777" w:rsidR="00E5652A" w:rsidRPr="0072267E" w:rsidRDefault="00450DB6" w:rsidP="00450DB6">
    <w:pPr>
      <w:spacing w:after="0" w:line="240" w:lineRule="auto"/>
      <w:ind w:right="-43"/>
      <w:rPr>
        <w:sz w:val="12"/>
        <w:szCs w:val="12"/>
      </w:rPr>
    </w:pPr>
    <w:r w:rsidRPr="00450DB6">
      <w:rPr>
        <w:rFonts w:ascii="Arial" w:eastAsia="Times New Roman" w:hAnsi="Arial"/>
        <w:sz w:val="12"/>
        <w:szCs w:val="12"/>
        <w:lang w:eastAsia="en-US"/>
      </w:rPr>
      <w:t xml:space="preserve">PP-BHS-QM-10-28-Discharge Process </w:t>
    </w:r>
    <w:r w:rsidR="00512105">
      <w:rPr>
        <w:rFonts w:ascii="Arial" w:eastAsia="Times New Roman" w:hAnsi="Arial"/>
        <w:sz w:val="12"/>
        <w:szCs w:val="12"/>
        <w:lang w:eastAsia="en-US"/>
      </w:rPr>
      <w:t>01-15-2021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93AA" w14:textId="77777777" w:rsidR="00A77B38" w:rsidRDefault="00A77B38" w:rsidP="00C26FB2">
      <w:pPr>
        <w:spacing w:after="0" w:line="240" w:lineRule="auto"/>
      </w:pPr>
      <w:r>
        <w:separator/>
      </w:r>
    </w:p>
  </w:footnote>
  <w:footnote w:type="continuationSeparator" w:id="0">
    <w:p w14:paraId="565E0071" w14:textId="77777777" w:rsidR="00A77B38" w:rsidRDefault="00A77B38"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45B13"/>
    <w:multiLevelType w:val="hybridMultilevel"/>
    <w:tmpl w:val="51DE27A4"/>
    <w:lvl w:ilvl="0" w:tplc="E7F403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ADAE6168">
      <w:start w:val="1"/>
      <w:numFmt w:val="decimal"/>
      <w:lvlText w:val="%3."/>
      <w:lvlJc w:val="left"/>
      <w:pPr>
        <w:tabs>
          <w:tab w:val="num" w:pos="720"/>
        </w:tabs>
        <w:ind w:left="720" w:hanging="360"/>
      </w:pPr>
      <w:rPr>
        <w:rFonts w:hint="default"/>
        <w:sz w:val="24"/>
        <w:szCs w:val="24"/>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0E523E"/>
    <w:multiLevelType w:val="hybridMultilevel"/>
    <w:tmpl w:val="C56407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0943AB"/>
    <w:multiLevelType w:val="hybridMultilevel"/>
    <w:tmpl w:val="197C30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356647B1"/>
    <w:multiLevelType w:val="hybridMultilevel"/>
    <w:tmpl w:val="3BFC9B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B1B35CF"/>
    <w:multiLevelType w:val="hybridMultilevel"/>
    <w:tmpl w:val="C46876D4"/>
    <w:lvl w:ilvl="0" w:tplc="DA8CD0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C7545"/>
    <w:multiLevelType w:val="hybridMultilevel"/>
    <w:tmpl w:val="D49CF356"/>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DC5FDB"/>
    <w:multiLevelType w:val="hybridMultilevel"/>
    <w:tmpl w:val="43EE7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CE1103"/>
    <w:multiLevelType w:val="hybridMultilevel"/>
    <w:tmpl w:val="0D72181A"/>
    <w:lvl w:ilvl="0" w:tplc="3E42D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27487"/>
    <w:multiLevelType w:val="hybridMultilevel"/>
    <w:tmpl w:val="BC8A9094"/>
    <w:lvl w:ilvl="0" w:tplc="BCFED41E">
      <w:start w:val="2"/>
      <w:numFmt w:val="upperLetter"/>
      <w:lvlText w:val="%1."/>
      <w:lvlJc w:val="left"/>
      <w:pPr>
        <w:tabs>
          <w:tab w:val="num" w:pos="360"/>
        </w:tabs>
        <w:ind w:left="360" w:hanging="360"/>
      </w:pPr>
      <w:rPr>
        <w:rFonts w:hint="default"/>
        <w:b/>
      </w:rPr>
    </w:lvl>
    <w:lvl w:ilvl="1" w:tplc="B9B4AE76">
      <w:start w:val="1"/>
      <w:numFmt w:val="decimal"/>
      <w:lvlText w:val="%2."/>
      <w:lvlJc w:val="left"/>
      <w:pPr>
        <w:tabs>
          <w:tab w:val="num" w:pos="720"/>
        </w:tabs>
        <w:ind w:left="720" w:hanging="360"/>
      </w:pPr>
      <w:rPr>
        <w:rFonts w:hint="default"/>
        <w:b w:val="0"/>
      </w:rPr>
    </w:lvl>
    <w:lvl w:ilvl="2" w:tplc="D1CAA9FC">
      <w:start w:val="2"/>
      <w:numFmt w:val="decimal"/>
      <w:lvlText w:val="%3."/>
      <w:lvlJc w:val="left"/>
      <w:pPr>
        <w:tabs>
          <w:tab w:val="num" w:pos="720"/>
        </w:tabs>
        <w:ind w:left="720" w:hanging="360"/>
      </w:pPr>
      <w:rPr>
        <w:rFonts w:hint="default"/>
        <w:b w:val="0"/>
      </w:rPr>
    </w:lvl>
    <w:lvl w:ilvl="3" w:tplc="2B744678">
      <w:start w:val="3"/>
      <w:numFmt w:val="decimal"/>
      <w:lvlText w:val="%4."/>
      <w:lvlJc w:val="left"/>
      <w:pPr>
        <w:tabs>
          <w:tab w:val="num" w:pos="720"/>
        </w:tabs>
        <w:ind w:left="720" w:hanging="360"/>
      </w:pPr>
      <w:rPr>
        <w:rFonts w:hint="default"/>
        <w:b w:val="0"/>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425D44"/>
    <w:multiLevelType w:val="hybridMultilevel"/>
    <w:tmpl w:val="7506010A"/>
    <w:lvl w:ilvl="0" w:tplc="E1446872">
      <w:start w:val="1"/>
      <w:numFmt w:val="decimal"/>
      <w:lvlText w:val="%1."/>
      <w:lvlJc w:val="left"/>
      <w:pPr>
        <w:ind w:left="720" w:hanging="360"/>
      </w:pPr>
      <w:rPr>
        <w:rFonts w:ascii="Arial" w:hAnsi="Arial"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E14A35"/>
    <w:multiLevelType w:val="hybridMultilevel"/>
    <w:tmpl w:val="65362B80"/>
    <w:lvl w:ilvl="0" w:tplc="54FEF0DC">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2D618B"/>
    <w:multiLevelType w:val="hybridMultilevel"/>
    <w:tmpl w:val="47923AD2"/>
    <w:lvl w:ilvl="0" w:tplc="F754FCF0">
      <w:start w:val="1"/>
      <w:numFmt w:val="upperLetter"/>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4762EF3A">
      <w:start w:val="1"/>
      <w:numFmt w:val="decimal"/>
      <w:lvlText w:val="%3."/>
      <w:lvlJc w:val="left"/>
      <w:pPr>
        <w:tabs>
          <w:tab w:val="num" w:pos="1620"/>
        </w:tabs>
        <w:ind w:left="1620" w:hanging="360"/>
      </w:pPr>
      <w:rPr>
        <w:rFonts w:ascii="Times New Roman" w:eastAsia="Times New Roman" w:hAnsi="Times New Roman" w:cs="Times New Roman"/>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936984556">
    <w:abstractNumId w:val="4"/>
  </w:num>
  <w:num w:numId="2" w16cid:durableId="1272517421">
    <w:abstractNumId w:val="6"/>
  </w:num>
  <w:num w:numId="3" w16cid:durableId="1516071353">
    <w:abstractNumId w:val="11"/>
  </w:num>
  <w:num w:numId="4" w16cid:durableId="950280806">
    <w:abstractNumId w:val="0"/>
  </w:num>
  <w:num w:numId="5" w16cid:durableId="1597592770">
    <w:abstractNumId w:val="8"/>
  </w:num>
  <w:num w:numId="6" w16cid:durableId="1406804057">
    <w:abstractNumId w:val="1"/>
  </w:num>
  <w:num w:numId="7" w16cid:durableId="930550707">
    <w:abstractNumId w:val="5"/>
  </w:num>
  <w:num w:numId="8" w16cid:durableId="1952473950">
    <w:abstractNumId w:val="2"/>
  </w:num>
  <w:num w:numId="9" w16cid:durableId="1635870918">
    <w:abstractNumId w:val="3"/>
  </w:num>
  <w:num w:numId="10" w16cid:durableId="1260604842">
    <w:abstractNumId w:val="10"/>
  </w:num>
  <w:num w:numId="11" w16cid:durableId="653216339">
    <w:abstractNumId w:val="9"/>
  </w:num>
  <w:num w:numId="12" w16cid:durableId="1807775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E0"/>
    <w:rsid w:val="000032EC"/>
    <w:rsid w:val="000075A3"/>
    <w:rsid w:val="00010B56"/>
    <w:rsid w:val="000260E0"/>
    <w:rsid w:val="00067A00"/>
    <w:rsid w:val="000918F0"/>
    <w:rsid w:val="00094D71"/>
    <w:rsid w:val="000B6EB5"/>
    <w:rsid w:val="000D7E4F"/>
    <w:rsid w:val="000E3EDB"/>
    <w:rsid w:val="000F60D1"/>
    <w:rsid w:val="001112C2"/>
    <w:rsid w:val="00120170"/>
    <w:rsid w:val="0012786F"/>
    <w:rsid w:val="0013575D"/>
    <w:rsid w:val="001637DB"/>
    <w:rsid w:val="001A1FFE"/>
    <w:rsid w:val="001C5AC9"/>
    <w:rsid w:val="001E687A"/>
    <w:rsid w:val="0020385A"/>
    <w:rsid w:val="0023605B"/>
    <w:rsid w:val="0023795B"/>
    <w:rsid w:val="002413A9"/>
    <w:rsid w:val="002807DC"/>
    <w:rsid w:val="00295776"/>
    <w:rsid w:val="002C3FC2"/>
    <w:rsid w:val="003136B8"/>
    <w:rsid w:val="00317018"/>
    <w:rsid w:val="00332BDB"/>
    <w:rsid w:val="00351909"/>
    <w:rsid w:val="003526B9"/>
    <w:rsid w:val="00384437"/>
    <w:rsid w:val="0039293F"/>
    <w:rsid w:val="003A01D6"/>
    <w:rsid w:val="003A0379"/>
    <w:rsid w:val="003A17DD"/>
    <w:rsid w:val="003D0ED3"/>
    <w:rsid w:val="003E51FE"/>
    <w:rsid w:val="0042446C"/>
    <w:rsid w:val="00437238"/>
    <w:rsid w:val="00450DB6"/>
    <w:rsid w:val="00453EB9"/>
    <w:rsid w:val="004823FD"/>
    <w:rsid w:val="00496375"/>
    <w:rsid w:val="004B00A0"/>
    <w:rsid w:val="004C2125"/>
    <w:rsid w:val="004D64D8"/>
    <w:rsid w:val="004E0DF1"/>
    <w:rsid w:val="004E4392"/>
    <w:rsid w:val="004F44AF"/>
    <w:rsid w:val="0050206E"/>
    <w:rsid w:val="0050643F"/>
    <w:rsid w:val="00512105"/>
    <w:rsid w:val="0051401D"/>
    <w:rsid w:val="00535070"/>
    <w:rsid w:val="0053678D"/>
    <w:rsid w:val="00553626"/>
    <w:rsid w:val="005547AB"/>
    <w:rsid w:val="00565247"/>
    <w:rsid w:val="00572EA0"/>
    <w:rsid w:val="0059003F"/>
    <w:rsid w:val="005A0AE0"/>
    <w:rsid w:val="005B6A11"/>
    <w:rsid w:val="005C0C59"/>
    <w:rsid w:val="005C4564"/>
    <w:rsid w:val="00602B65"/>
    <w:rsid w:val="00617C6C"/>
    <w:rsid w:val="006277E4"/>
    <w:rsid w:val="0063600C"/>
    <w:rsid w:val="00642862"/>
    <w:rsid w:val="00664095"/>
    <w:rsid w:val="00671F6F"/>
    <w:rsid w:val="006754A0"/>
    <w:rsid w:val="006811C8"/>
    <w:rsid w:val="006A3EB4"/>
    <w:rsid w:val="006D4DC2"/>
    <w:rsid w:val="006E04B3"/>
    <w:rsid w:val="007125AE"/>
    <w:rsid w:val="0072267E"/>
    <w:rsid w:val="00731BD7"/>
    <w:rsid w:val="00742528"/>
    <w:rsid w:val="0074397C"/>
    <w:rsid w:val="0074410C"/>
    <w:rsid w:val="007665AC"/>
    <w:rsid w:val="00781DCE"/>
    <w:rsid w:val="007B61B0"/>
    <w:rsid w:val="007F547B"/>
    <w:rsid w:val="00806F78"/>
    <w:rsid w:val="00835EF4"/>
    <w:rsid w:val="00840C34"/>
    <w:rsid w:val="00847B42"/>
    <w:rsid w:val="008860EE"/>
    <w:rsid w:val="008D4D79"/>
    <w:rsid w:val="0090092D"/>
    <w:rsid w:val="00901BFA"/>
    <w:rsid w:val="0090745A"/>
    <w:rsid w:val="0093226D"/>
    <w:rsid w:val="00936744"/>
    <w:rsid w:val="00937F4A"/>
    <w:rsid w:val="0094005F"/>
    <w:rsid w:val="0094685B"/>
    <w:rsid w:val="00957D3C"/>
    <w:rsid w:val="009A2D61"/>
    <w:rsid w:val="009E7796"/>
    <w:rsid w:val="009F7551"/>
    <w:rsid w:val="00A06FB7"/>
    <w:rsid w:val="00A124ED"/>
    <w:rsid w:val="00A20031"/>
    <w:rsid w:val="00A21A4B"/>
    <w:rsid w:val="00A44BC0"/>
    <w:rsid w:val="00A562E7"/>
    <w:rsid w:val="00A574FE"/>
    <w:rsid w:val="00A77B38"/>
    <w:rsid w:val="00AA1847"/>
    <w:rsid w:val="00AC03E4"/>
    <w:rsid w:val="00AC4176"/>
    <w:rsid w:val="00AD7B01"/>
    <w:rsid w:val="00B07EAE"/>
    <w:rsid w:val="00B15800"/>
    <w:rsid w:val="00B21CC1"/>
    <w:rsid w:val="00B43798"/>
    <w:rsid w:val="00B51485"/>
    <w:rsid w:val="00B703F5"/>
    <w:rsid w:val="00B71335"/>
    <w:rsid w:val="00BB3CA2"/>
    <w:rsid w:val="00BF5E45"/>
    <w:rsid w:val="00C10E14"/>
    <w:rsid w:val="00C25812"/>
    <w:rsid w:val="00C26FB2"/>
    <w:rsid w:val="00C448FC"/>
    <w:rsid w:val="00C730BF"/>
    <w:rsid w:val="00C74184"/>
    <w:rsid w:val="00C801E2"/>
    <w:rsid w:val="00C85254"/>
    <w:rsid w:val="00CA02A6"/>
    <w:rsid w:val="00CA44F0"/>
    <w:rsid w:val="00CA4B71"/>
    <w:rsid w:val="00CA553C"/>
    <w:rsid w:val="00CC3CD2"/>
    <w:rsid w:val="00CD2354"/>
    <w:rsid w:val="00CD7DEB"/>
    <w:rsid w:val="00CF4712"/>
    <w:rsid w:val="00D05634"/>
    <w:rsid w:val="00D071C7"/>
    <w:rsid w:val="00D24316"/>
    <w:rsid w:val="00D63803"/>
    <w:rsid w:val="00D82784"/>
    <w:rsid w:val="00D94E1A"/>
    <w:rsid w:val="00DC738E"/>
    <w:rsid w:val="00DE0873"/>
    <w:rsid w:val="00E1015F"/>
    <w:rsid w:val="00E52075"/>
    <w:rsid w:val="00E5380D"/>
    <w:rsid w:val="00E55BB0"/>
    <w:rsid w:val="00E5652A"/>
    <w:rsid w:val="00E56709"/>
    <w:rsid w:val="00E73645"/>
    <w:rsid w:val="00E802A0"/>
    <w:rsid w:val="00E842E7"/>
    <w:rsid w:val="00EA3B48"/>
    <w:rsid w:val="00EA560F"/>
    <w:rsid w:val="00EB2925"/>
    <w:rsid w:val="00EB49E5"/>
    <w:rsid w:val="00EC62E9"/>
    <w:rsid w:val="00ED6752"/>
    <w:rsid w:val="00ED6A97"/>
    <w:rsid w:val="00ED796A"/>
    <w:rsid w:val="00ED7E2B"/>
    <w:rsid w:val="00F11ED8"/>
    <w:rsid w:val="00F13526"/>
    <w:rsid w:val="00F72490"/>
    <w:rsid w:val="00FA4E65"/>
    <w:rsid w:val="00FC097E"/>
    <w:rsid w:val="00FF5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DF2EF"/>
  <w15:chartTrackingRefBased/>
  <w15:docId w15:val="{B2B14294-CF27-4325-AABA-522A062E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pPr>
      <w:spacing w:after="200" w:line="276" w:lineRule="auto"/>
    </w:pPr>
    <w:rPr>
      <w:sz w:val="22"/>
      <w:szCs w:val="22"/>
      <w:lang w:eastAsia="zh-CN"/>
    </w:rPr>
  </w:style>
  <w:style w:type="paragraph" w:styleId="Heading1">
    <w:name w:val="heading 1"/>
    <w:basedOn w:val="Normal"/>
    <w:next w:val="Normal"/>
    <w:link w:val="Heading1Char"/>
    <w:uiPriority w:val="9"/>
    <w:qFormat/>
    <w:rsid w:val="00E1015F"/>
    <w:pPr>
      <w:spacing w:after="0" w:line="240" w:lineRule="auto"/>
      <w:outlineLvl w:val="0"/>
    </w:pPr>
    <w:rPr>
      <w:rFonts w:ascii="Arial" w:hAnsi="Arial"/>
      <w:b/>
    </w:rPr>
  </w:style>
  <w:style w:type="paragraph" w:styleId="Heading2">
    <w:name w:val="heading 2"/>
    <w:basedOn w:val="Normal"/>
    <w:next w:val="Normal"/>
    <w:link w:val="Heading2Char"/>
    <w:uiPriority w:val="9"/>
    <w:unhideWhenUsed/>
    <w:qFormat/>
    <w:rsid w:val="00E1015F"/>
    <w:pPr>
      <w:spacing w:after="0" w:line="240" w:lineRule="auto"/>
      <w:outlineLvl w:val="1"/>
    </w:pPr>
    <w:rPr>
      <w:rFonts w:ascii="Arial" w:hAnsi="Arial"/>
      <w:b/>
    </w:rPr>
  </w:style>
  <w:style w:type="paragraph" w:styleId="Heading3">
    <w:name w:val="heading 3"/>
    <w:basedOn w:val="Normal"/>
    <w:next w:val="Normal"/>
    <w:link w:val="Heading3Char"/>
    <w:uiPriority w:val="9"/>
    <w:unhideWhenUsed/>
    <w:qFormat/>
    <w:rsid w:val="00E1015F"/>
    <w:pPr>
      <w:spacing w:after="0" w:line="240" w:lineRule="auto"/>
      <w:outlineLvl w:val="2"/>
    </w:pPr>
    <w:rPr>
      <w:rFonts w:ascii="Arial" w:hAnsi="Arial"/>
      <w:b/>
    </w:rPr>
  </w:style>
  <w:style w:type="paragraph" w:styleId="Heading4">
    <w:name w:val="heading 4"/>
    <w:basedOn w:val="Normal"/>
    <w:next w:val="Normal"/>
    <w:link w:val="Heading4Char"/>
    <w:uiPriority w:val="9"/>
    <w:unhideWhenUsed/>
    <w:qFormat/>
    <w:rsid w:val="00E1015F"/>
    <w:pPr>
      <w:spacing w:after="0" w:line="240" w:lineRule="auto"/>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60E0"/>
    <w:rPr>
      <w:rFonts w:ascii="Tahoma" w:hAnsi="Tahoma" w:cs="Tahoma"/>
      <w:sz w:val="16"/>
      <w:szCs w:val="16"/>
    </w:rPr>
  </w:style>
  <w:style w:type="character" w:styleId="Hyperlink">
    <w:name w:val="Hyperlink"/>
    <w:rsid w:val="001E687A"/>
    <w:rPr>
      <w:color w:val="0000FF"/>
      <w:u w:val="single"/>
    </w:rPr>
  </w:style>
  <w:style w:type="paragraph" w:styleId="Header">
    <w:name w:val="header"/>
    <w:basedOn w:val="Normal"/>
    <w:link w:val="HeaderChar"/>
    <w:uiPriority w:val="99"/>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iPriority w:val="99"/>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b/>
      <w:bCs/>
      <w:sz w:val="36"/>
      <w:szCs w:val="24"/>
      <w:lang w:eastAsia="en-US"/>
    </w:rPr>
  </w:style>
  <w:style w:type="character" w:customStyle="1" w:styleId="BodyText3Char">
    <w:name w:val="Body Text 3 Char"/>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34"/>
    <w:qFormat/>
    <w:rsid w:val="00937F4A"/>
    <w:pPr>
      <w:ind w:left="720"/>
      <w:contextualSpacing/>
    </w:pPr>
  </w:style>
  <w:style w:type="paragraph" w:styleId="BlockText">
    <w:name w:val="Block Text"/>
    <w:basedOn w:val="Normal"/>
    <w:rsid w:val="00437238"/>
    <w:pPr>
      <w:spacing w:after="120" w:line="240" w:lineRule="auto"/>
      <w:ind w:left="1440" w:right="1440"/>
    </w:pPr>
    <w:rPr>
      <w:rFonts w:ascii="Times New Roman" w:eastAsia="Times New Roman" w:hAnsi="Times New Roman" w:cs="Times New Roman"/>
      <w:sz w:val="24"/>
      <w:szCs w:val="24"/>
      <w:lang w:eastAsia="en-US"/>
    </w:rPr>
  </w:style>
  <w:style w:type="paragraph" w:customStyle="1" w:styleId="PP07-07-14">
    <w:name w:val="P&amp;P07-07-14"/>
    <w:basedOn w:val="Normal"/>
    <w:qFormat/>
    <w:rsid w:val="00F72490"/>
    <w:pPr>
      <w:spacing w:after="0" w:line="240" w:lineRule="auto"/>
    </w:pPr>
    <w:rPr>
      <w:rFonts w:ascii="Arial" w:eastAsia="Times New Roman" w:hAnsi="Arial"/>
      <w:b/>
    </w:rPr>
  </w:style>
  <w:style w:type="character" w:styleId="CommentReference">
    <w:name w:val="annotation reference"/>
    <w:uiPriority w:val="99"/>
    <w:semiHidden/>
    <w:unhideWhenUsed/>
    <w:rsid w:val="0023605B"/>
    <w:rPr>
      <w:sz w:val="16"/>
      <w:szCs w:val="16"/>
    </w:rPr>
  </w:style>
  <w:style w:type="paragraph" w:styleId="CommentText">
    <w:name w:val="annotation text"/>
    <w:basedOn w:val="Normal"/>
    <w:link w:val="CommentTextChar"/>
    <w:uiPriority w:val="99"/>
    <w:semiHidden/>
    <w:unhideWhenUsed/>
    <w:rsid w:val="0023605B"/>
    <w:rPr>
      <w:sz w:val="20"/>
      <w:szCs w:val="20"/>
    </w:rPr>
  </w:style>
  <w:style w:type="character" w:customStyle="1" w:styleId="CommentTextChar">
    <w:name w:val="Comment Text Char"/>
    <w:link w:val="CommentText"/>
    <w:uiPriority w:val="99"/>
    <w:semiHidden/>
    <w:rsid w:val="0023605B"/>
    <w:rPr>
      <w:lang w:eastAsia="zh-CN"/>
    </w:rPr>
  </w:style>
  <w:style w:type="paragraph" w:styleId="CommentSubject">
    <w:name w:val="annotation subject"/>
    <w:basedOn w:val="CommentText"/>
    <w:next w:val="CommentText"/>
    <w:link w:val="CommentSubjectChar"/>
    <w:uiPriority w:val="99"/>
    <w:semiHidden/>
    <w:unhideWhenUsed/>
    <w:rsid w:val="0023605B"/>
    <w:rPr>
      <w:b/>
      <w:bCs/>
    </w:rPr>
  </w:style>
  <w:style w:type="character" w:customStyle="1" w:styleId="CommentSubjectChar">
    <w:name w:val="Comment Subject Char"/>
    <w:link w:val="CommentSubject"/>
    <w:uiPriority w:val="99"/>
    <w:semiHidden/>
    <w:rsid w:val="0023605B"/>
    <w:rPr>
      <w:b/>
      <w:bCs/>
      <w:lang w:eastAsia="zh-CN"/>
    </w:rPr>
  </w:style>
  <w:style w:type="paragraph" w:styleId="Title">
    <w:name w:val="Title"/>
    <w:basedOn w:val="Normal"/>
    <w:next w:val="Normal"/>
    <w:link w:val="TitleChar"/>
    <w:uiPriority w:val="10"/>
    <w:qFormat/>
    <w:rsid w:val="00E1015F"/>
    <w:pPr>
      <w:spacing w:after="0" w:line="240" w:lineRule="auto"/>
    </w:pPr>
    <w:rPr>
      <w:rFonts w:ascii="Arial" w:hAnsi="Arial"/>
      <w:b/>
    </w:rPr>
  </w:style>
  <w:style w:type="character" w:customStyle="1" w:styleId="TitleChar">
    <w:name w:val="Title Char"/>
    <w:basedOn w:val="DefaultParagraphFont"/>
    <w:link w:val="Title"/>
    <w:uiPriority w:val="10"/>
    <w:rsid w:val="00E1015F"/>
    <w:rPr>
      <w:rFonts w:ascii="Arial" w:hAnsi="Arial"/>
      <w:b/>
      <w:sz w:val="22"/>
      <w:szCs w:val="22"/>
      <w:lang w:eastAsia="zh-CN"/>
    </w:rPr>
  </w:style>
  <w:style w:type="character" w:customStyle="1" w:styleId="Heading1Char">
    <w:name w:val="Heading 1 Char"/>
    <w:basedOn w:val="DefaultParagraphFont"/>
    <w:link w:val="Heading1"/>
    <w:uiPriority w:val="9"/>
    <w:rsid w:val="00E1015F"/>
    <w:rPr>
      <w:rFonts w:ascii="Arial" w:hAnsi="Arial"/>
      <w:b/>
      <w:sz w:val="22"/>
      <w:szCs w:val="22"/>
      <w:lang w:eastAsia="zh-CN"/>
    </w:rPr>
  </w:style>
  <w:style w:type="character" w:customStyle="1" w:styleId="Heading2Char">
    <w:name w:val="Heading 2 Char"/>
    <w:basedOn w:val="DefaultParagraphFont"/>
    <w:link w:val="Heading2"/>
    <w:uiPriority w:val="9"/>
    <w:rsid w:val="00E1015F"/>
    <w:rPr>
      <w:rFonts w:ascii="Arial" w:hAnsi="Arial"/>
      <w:b/>
      <w:sz w:val="22"/>
      <w:szCs w:val="22"/>
      <w:lang w:eastAsia="zh-CN"/>
    </w:rPr>
  </w:style>
  <w:style w:type="character" w:customStyle="1" w:styleId="Heading3Char">
    <w:name w:val="Heading 3 Char"/>
    <w:basedOn w:val="DefaultParagraphFont"/>
    <w:link w:val="Heading3"/>
    <w:uiPriority w:val="9"/>
    <w:rsid w:val="00E1015F"/>
    <w:rPr>
      <w:rFonts w:ascii="Arial" w:hAnsi="Arial"/>
      <w:b/>
      <w:sz w:val="22"/>
      <w:szCs w:val="22"/>
      <w:lang w:eastAsia="zh-CN"/>
    </w:rPr>
  </w:style>
  <w:style w:type="character" w:customStyle="1" w:styleId="Heading4Char">
    <w:name w:val="Heading 4 Char"/>
    <w:basedOn w:val="DefaultParagraphFont"/>
    <w:link w:val="Heading4"/>
    <w:uiPriority w:val="9"/>
    <w:rsid w:val="00E1015F"/>
    <w:rPr>
      <w:rFonts w:ascii="Arial" w:hAnsi="Arial"/>
      <w:b/>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Information@saccounty.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3.xml><?xml version="1.0" encoding="utf-8"?>
<ds:datastoreItem xmlns:ds="http://schemas.openxmlformats.org/officeDocument/2006/customXml" ds:itemID="{A0C0E391-410D-4E64-A2A4-4DD5E14D6BFB}">
  <ds:schemaRefs>
    <ds:schemaRef ds:uri="http://schemas.openxmlformats.org/officeDocument/2006/bibliography"/>
  </ds:schemaRefs>
</ds:datastoreItem>
</file>

<file path=customXml/itemProps4.xml><?xml version="1.0" encoding="utf-8"?>
<ds:datastoreItem xmlns:ds="http://schemas.openxmlformats.org/officeDocument/2006/customXml" ds:itemID="{D90FA8B1-5C09-4D57-B67E-320ACDB7E904}">
  <ds:schemaRefs>
    <ds:schemaRef ds:uri="urn:sharePointPublishingRcaProperties"/>
  </ds:schemaRefs>
</ds:datastoreItem>
</file>

<file path=customXml/itemProps5.xml><?xml version="1.0" encoding="utf-8"?>
<ds:datastoreItem xmlns:ds="http://schemas.openxmlformats.org/officeDocument/2006/customXml" ds:itemID="{32A027F9-9064-456D-A1CD-343F70540C3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4241</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4975</CharactersWithSpaces>
  <SharedDoc>false</SharedDoc>
  <HLinks>
    <vt:vector size="6" baseType="variant">
      <vt:variant>
        <vt:i4>7995480</vt:i4>
      </vt:variant>
      <vt:variant>
        <vt:i4>0</vt:i4>
      </vt:variant>
      <vt:variant>
        <vt:i4>0</vt:i4>
      </vt:variant>
      <vt:variant>
        <vt:i4>5</vt:i4>
      </vt:variant>
      <vt:variant>
        <vt:lpwstr>mailto:QMInformation@saccounty.net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QM-10-28-Discharge Process</dc:title>
  <dc:subject/>
  <dc:creator>Baranski. Nicholas</dc:creator>
  <cp:keywords>ADA Version 2026</cp:keywords>
  <cp:lastModifiedBy>Baranski. Nicholas</cp:lastModifiedBy>
  <cp:revision>3</cp:revision>
  <dcterms:created xsi:type="dcterms:W3CDTF">2026-07-09T18:50:00Z</dcterms:created>
  <dcterms:modified xsi:type="dcterms:W3CDTF">2026-07-09T18:50:00Z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