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05"/>
        <w:gridCol w:w="966"/>
        <w:gridCol w:w="1983"/>
        <w:gridCol w:w="2036"/>
      </w:tblGrid>
      <w:tr w:rsidR="004A022D" w14:paraId="0B79350E" w14:textId="77777777" w:rsidTr="004A022D">
        <w:trPr>
          <w:trHeight w:hRule="exact" w:val="518"/>
        </w:trPr>
        <w:tc>
          <w:tcPr>
            <w:tcW w:w="5771" w:type="dxa"/>
            <w:gridSpan w:val="2"/>
            <w:vMerge w:val="restart"/>
            <w:vAlign w:val="center"/>
          </w:tcPr>
          <w:p w14:paraId="705C06BC" w14:textId="77777777" w:rsidR="004A022D" w:rsidRDefault="004A022D"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1BED1F4D" wp14:editId="72D6A0D1">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784AC" w14:textId="1AEC003E" w:rsidR="004A022D" w:rsidRPr="00BF5E45" w:rsidRDefault="004A022D"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01A986C4" w14:textId="3977E8ED" w:rsidR="004A022D" w:rsidRPr="00BF5E45" w:rsidRDefault="004A022D"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Services</w:t>
            </w:r>
          </w:p>
          <w:p w14:paraId="5FA3BD3B" w14:textId="4FC995E5" w:rsidR="004A022D" w:rsidRDefault="004A022D" w:rsidP="00BF5E45">
            <w:pPr>
              <w:pStyle w:val="BodyText3"/>
              <w:rPr>
                <w:sz w:val="20"/>
                <w:szCs w:val="20"/>
              </w:rPr>
            </w:pPr>
            <w:r>
              <w:rPr>
                <w:sz w:val="20"/>
                <w:szCs w:val="20"/>
              </w:rPr>
              <w:t xml:space="preserve">          </w:t>
            </w:r>
            <w:r w:rsidRPr="00BF5E45">
              <w:rPr>
                <w:sz w:val="20"/>
                <w:szCs w:val="20"/>
              </w:rPr>
              <w:t>Division of Behavioral Health Services</w:t>
            </w:r>
          </w:p>
          <w:p w14:paraId="279F6AD6" w14:textId="62119921" w:rsidR="004A022D" w:rsidRPr="00ED6752" w:rsidRDefault="004A022D" w:rsidP="00BF5E45">
            <w:pPr>
              <w:pStyle w:val="BodyText3"/>
              <w:spacing w:after="120"/>
              <w:rPr>
                <w:sz w:val="18"/>
                <w:szCs w:val="18"/>
              </w:rPr>
            </w:pPr>
            <w:r>
              <w:rPr>
                <w:sz w:val="20"/>
                <w:szCs w:val="20"/>
              </w:rPr>
              <w:t xml:space="preserve">          </w:t>
            </w:r>
            <w:r w:rsidRPr="00BF5E45">
              <w:rPr>
                <w:sz w:val="20"/>
                <w:szCs w:val="20"/>
              </w:rPr>
              <w:t>Policy and Procedure</w:t>
            </w:r>
          </w:p>
        </w:tc>
        <w:tc>
          <w:tcPr>
            <w:tcW w:w="1983" w:type="dxa"/>
            <w:vAlign w:val="bottom"/>
          </w:tcPr>
          <w:p w14:paraId="29D24FFC" w14:textId="77777777" w:rsidR="004A022D" w:rsidRPr="00125CFD" w:rsidRDefault="004A022D" w:rsidP="00453EB9">
            <w:pPr>
              <w:rPr>
                <w:rFonts w:ascii="Arial" w:hAnsi="Arial" w:cs="Arial"/>
              </w:rPr>
            </w:pPr>
            <w:r w:rsidRPr="00125CFD">
              <w:rPr>
                <w:rFonts w:ascii="Arial" w:hAnsi="Arial" w:cs="Arial"/>
              </w:rPr>
              <w:t>Policy Issue</w:t>
            </w:r>
            <w:r w:rsidRPr="00125CFD">
              <w:rPr>
                <w:rFonts w:ascii="Arial" w:eastAsia="PMingLiU" w:hAnsi="Arial" w:cs="Arial" w:hint="eastAsia"/>
                <w:lang w:eastAsia="zh-TW"/>
              </w:rPr>
              <w:t>r</w:t>
            </w:r>
            <w:r w:rsidRPr="00125CFD">
              <w:rPr>
                <w:rFonts w:ascii="Arial" w:hAnsi="Arial" w:cs="Arial"/>
              </w:rPr>
              <w:t xml:space="preserve"> (Unit</w:t>
            </w:r>
            <w:r w:rsidRPr="00125CFD">
              <w:rPr>
                <w:rFonts w:ascii="Arial" w:eastAsia="PMingLiU" w:hAnsi="Arial" w:cs="Arial" w:hint="eastAsia"/>
                <w:lang w:eastAsia="zh-TW"/>
              </w:rPr>
              <w:t>/Program</w:t>
            </w:r>
            <w:r w:rsidRPr="00125CFD">
              <w:rPr>
                <w:rFonts w:ascii="Arial" w:hAnsi="Arial" w:cs="Arial"/>
              </w:rPr>
              <w:t>)</w:t>
            </w:r>
          </w:p>
        </w:tc>
        <w:tc>
          <w:tcPr>
            <w:tcW w:w="2036" w:type="dxa"/>
            <w:vAlign w:val="bottom"/>
          </w:tcPr>
          <w:p w14:paraId="045351E3" w14:textId="77777777" w:rsidR="004A022D" w:rsidRPr="00125CFD" w:rsidRDefault="004A022D" w:rsidP="00453EB9">
            <w:pPr>
              <w:rPr>
                <w:rFonts w:ascii="Arial" w:hAnsi="Arial" w:cs="Arial"/>
                <w:b/>
              </w:rPr>
            </w:pPr>
            <w:r w:rsidRPr="00125CFD">
              <w:rPr>
                <w:rFonts w:ascii="Arial" w:hAnsi="Arial" w:cs="Arial"/>
                <w:b/>
              </w:rPr>
              <w:t>QM</w:t>
            </w:r>
          </w:p>
        </w:tc>
      </w:tr>
      <w:tr w:rsidR="004A022D" w14:paraId="0E545502" w14:textId="77777777" w:rsidTr="004A022D">
        <w:trPr>
          <w:trHeight w:hRule="exact" w:val="331"/>
        </w:trPr>
        <w:tc>
          <w:tcPr>
            <w:tcW w:w="5771" w:type="dxa"/>
            <w:gridSpan w:val="2"/>
            <w:vMerge/>
          </w:tcPr>
          <w:p w14:paraId="2A2A6997" w14:textId="77777777" w:rsidR="004A022D" w:rsidRPr="00ED6752" w:rsidRDefault="004A022D" w:rsidP="00453EB9">
            <w:pPr>
              <w:rPr>
                <w:rFonts w:ascii="Arial" w:hAnsi="Arial" w:cs="Arial"/>
                <w:sz w:val="18"/>
                <w:szCs w:val="18"/>
              </w:rPr>
            </w:pPr>
          </w:p>
        </w:tc>
        <w:tc>
          <w:tcPr>
            <w:tcW w:w="1983" w:type="dxa"/>
            <w:vAlign w:val="bottom"/>
          </w:tcPr>
          <w:p w14:paraId="382197E7" w14:textId="77777777" w:rsidR="004A022D" w:rsidRPr="00125CFD" w:rsidRDefault="004A022D" w:rsidP="00453EB9">
            <w:pPr>
              <w:rPr>
                <w:rFonts w:ascii="Arial" w:hAnsi="Arial" w:cs="Arial"/>
              </w:rPr>
            </w:pPr>
            <w:r w:rsidRPr="00125CFD">
              <w:rPr>
                <w:rFonts w:ascii="Arial" w:hAnsi="Arial" w:cs="Arial"/>
              </w:rPr>
              <w:t>Policy Number</w:t>
            </w:r>
          </w:p>
        </w:tc>
        <w:tc>
          <w:tcPr>
            <w:tcW w:w="2036" w:type="dxa"/>
            <w:vAlign w:val="bottom"/>
          </w:tcPr>
          <w:p w14:paraId="7BCD4EC8" w14:textId="77777777" w:rsidR="004A022D" w:rsidRPr="00125CFD" w:rsidRDefault="004A022D" w:rsidP="00102BFE">
            <w:pPr>
              <w:rPr>
                <w:rFonts w:ascii="Arial" w:hAnsi="Arial" w:cs="Arial"/>
                <w:b/>
              </w:rPr>
            </w:pPr>
            <w:r w:rsidRPr="00125CFD">
              <w:rPr>
                <w:rFonts w:ascii="Arial" w:hAnsi="Arial" w:cs="Arial"/>
                <w:b/>
              </w:rPr>
              <w:t>QM-20-01</w:t>
            </w:r>
          </w:p>
        </w:tc>
      </w:tr>
      <w:tr w:rsidR="004A022D" w14:paraId="383CCC60" w14:textId="77777777" w:rsidTr="004A022D">
        <w:trPr>
          <w:trHeight w:hRule="exact" w:val="331"/>
        </w:trPr>
        <w:tc>
          <w:tcPr>
            <w:tcW w:w="5771" w:type="dxa"/>
            <w:gridSpan w:val="2"/>
            <w:vMerge/>
          </w:tcPr>
          <w:p w14:paraId="48F3AE83" w14:textId="77777777" w:rsidR="004A022D" w:rsidRPr="00ED6752" w:rsidRDefault="004A022D" w:rsidP="00453EB9">
            <w:pPr>
              <w:rPr>
                <w:rFonts w:ascii="Arial" w:hAnsi="Arial" w:cs="Arial"/>
                <w:sz w:val="18"/>
                <w:szCs w:val="18"/>
              </w:rPr>
            </w:pPr>
          </w:p>
        </w:tc>
        <w:tc>
          <w:tcPr>
            <w:tcW w:w="1983" w:type="dxa"/>
            <w:vAlign w:val="bottom"/>
          </w:tcPr>
          <w:p w14:paraId="477AC06A" w14:textId="77777777" w:rsidR="004A022D" w:rsidRPr="00125CFD" w:rsidRDefault="004A022D" w:rsidP="00453EB9">
            <w:pPr>
              <w:rPr>
                <w:rFonts w:ascii="Arial" w:hAnsi="Arial" w:cs="Arial"/>
              </w:rPr>
            </w:pPr>
            <w:r w:rsidRPr="00125CFD">
              <w:rPr>
                <w:rFonts w:ascii="Arial" w:hAnsi="Arial" w:cs="Arial"/>
              </w:rPr>
              <w:t>Effective Date</w:t>
            </w:r>
          </w:p>
        </w:tc>
        <w:tc>
          <w:tcPr>
            <w:tcW w:w="2036" w:type="dxa"/>
            <w:vAlign w:val="bottom"/>
          </w:tcPr>
          <w:p w14:paraId="4B3480C4" w14:textId="77777777" w:rsidR="004A022D" w:rsidRPr="00125CFD" w:rsidRDefault="004A022D" w:rsidP="00453EB9">
            <w:pPr>
              <w:rPr>
                <w:rFonts w:ascii="Arial" w:hAnsi="Arial" w:cs="Arial"/>
                <w:b/>
              </w:rPr>
            </w:pPr>
            <w:r w:rsidRPr="00125CFD">
              <w:rPr>
                <w:rFonts w:ascii="Arial" w:hAnsi="Arial" w:cs="Arial"/>
                <w:b/>
              </w:rPr>
              <w:t>07-01-2004</w:t>
            </w:r>
          </w:p>
        </w:tc>
      </w:tr>
      <w:tr w:rsidR="004A022D" w14:paraId="0D00C60E" w14:textId="77777777" w:rsidTr="004A022D">
        <w:trPr>
          <w:trHeight w:hRule="exact" w:val="331"/>
        </w:trPr>
        <w:tc>
          <w:tcPr>
            <w:tcW w:w="5771" w:type="dxa"/>
            <w:gridSpan w:val="2"/>
            <w:vMerge/>
          </w:tcPr>
          <w:p w14:paraId="3B4AAD4D" w14:textId="77777777" w:rsidR="004A022D" w:rsidRPr="00ED6752" w:rsidRDefault="004A022D" w:rsidP="00453EB9">
            <w:pPr>
              <w:rPr>
                <w:rFonts w:ascii="Arial" w:hAnsi="Arial" w:cs="Arial"/>
                <w:sz w:val="18"/>
                <w:szCs w:val="18"/>
              </w:rPr>
            </w:pPr>
          </w:p>
        </w:tc>
        <w:tc>
          <w:tcPr>
            <w:tcW w:w="1983" w:type="dxa"/>
            <w:vAlign w:val="bottom"/>
          </w:tcPr>
          <w:p w14:paraId="3AE74521" w14:textId="77777777" w:rsidR="004A022D" w:rsidRPr="00125CFD" w:rsidRDefault="004A022D" w:rsidP="00453EB9">
            <w:pPr>
              <w:rPr>
                <w:rFonts w:ascii="Arial" w:hAnsi="Arial" w:cs="Arial"/>
              </w:rPr>
            </w:pPr>
            <w:r w:rsidRPr="00125CFD">
              <w:rPr>
                <w:rFonts w:ascii="Arial" w:hAnsi="Arial" w:cs="Arial"/>
              </w:rPr>
              <w:t>Revision Date</w:t>
            </w:r>
          </w:p>
        </w:tc>
        <w:tc>
          <w:tcPr>
            <w:tcW w:w="2036" w:type="dxa"/>
            <w:vAlign w:val="bottom"/>
          </w:tcPr>
          <w:p w14:paraId="5553DAE1" w14:textId="77777777" w:rsidR="004A022D" w:rsidRPr="00125CFD" w:rsidRDefault="004A022D" w:rsidP="006943E3">
            <w:pPr>
              <w:rPr>
                <w:rFonts w:ascii="Arial" w:hAnsi="Arial" w:cs="Arial"/>
                <w:b/>
              </w:rPr>
            </w:pPr>
            <w:r>
              <w:rPr>
                <w:rFonts w:ascii="Arial" w:hAnsi="Arial" w:cs="Arial"/>
                <w:b/>
              </w:rPr>
              <w:t>12-24-2020</w:t>
            </w:r>
          </w:p>
        </w:tc>
      </w:tr>
      <w:tr w:rsidR="00453EB9" w14:paraId="2B0528B7" w14:textId="77777777" w:rsidTr="004A022D">
        <w:tc>
          <w:tcPr>
            <w:tcW w:w="4805" w:type="dxa"/>
          </w:tcPr>
          <w:p w14:paraId="71BAB22B" w14:textId="77777777" w:rsidR="00BF5E45" w:rsidRDefault="00453EB9" w:rsidP="00E56709">
            <w:pPr>
              <w:rPr>
                <w:rFonts w:ascii="Arial" w:hAnsi="Arial" w:cs="Arial"/>
              </w:rPr>
            </w:pPr>
            <w:r w:rsidRPr="00ED6752">
              <w:rPr>
                <w:rFonts w:ascii="Arial" w:hAnsi="Arial" w:cs="Arial"/>
              </w:rPr>
              <w:t>Title:</w:t>
            </w:r>
          </w:p>
          <w:p w14:paraId="22520679" w14:textId="400B3F5D" w:rsidR="00453EB9" w:rsidRPr="004A022D" w:rsidRDefault="00F1098D" w:rsidP="004A022D">
            <w:pPr>
              <w:pStyle w:val="Title"/>
            </w:pPr>
            <w:r w:rsidRPr="004A022D">
              <w:t xml:space="preserve">BHS </w:t>
            </w:r>
            <w:r w:rsidR="00102BFE" w:rsidRPr="004A022D">
              <w:t>Claims Certification and Program Integrity</w:t>
            </w:r>
          </w:p>
        </w:tc>
        <w:tc>
          <w:tcPr>
            <w:tcW w:w="4985" w:type="dxa"/>
            <w:gridSpan w:val="3"/>
          </w:tcPr>
          <w:p w14:paraId="3FCF0455" w14:textId="77777777" w:rsidR="00453EB9" w:rsidRPr="00BF5E45" w:rsidRDefault="00453EB9" w:rsidP="00E56709">
            <w:pPr>
              <w:rPr>
                <w:rFonts w:ascii="Arial" w:hAnsi="Arial" w:cs="Arial"/>
              </w:rPr>
            </w:pPr>
            <w:r w:rsidRPr="00BF5E45">
              <w:rPr>
                <w:rFonts w:ascii="Arial" w:hAnsi="Arial" w:cs="Arial"/>
              </w:rPr>
              <w:t>Functional Area:</w:t>
            </w:r>
          </w:p>
          <w:p w14:paraId="03E60973" w14:textId="77777777" w:rsidR="00BF5E45" w:rsidRPr="005B1CA9" w:rsidRDefault="00102BFE" w:rsidP="0062573B">
            <w:pPr>
              <w:pStyle w:val="PP07-07-14"/>
            </w:pPr>
            <w:r>
              <w:t>Federal Managed Care Regulations</w:t>
            </w:r>
          </w:p>
        </w:tc>
      </w:tr>
      <w:tr w:rsidR="00453EB9" w14:paraId="697D3B7A" w14:textId="77777777" w:rsidTr="004A022D">
        <w:trPr>
          <w:trHeight w:val="516"/>
        </w:trPr>
        <w:tc>
          <w:tcPr>
            <w:tcW w:w="9790" w:type="dxa"/>
            <w:gridSpan w:val="4"/>
          </w:tcPr>
          <w:p w14:paraId="7FF7C733" w14:textId="77777777" w:rsidR="00453EB9" w:rsidRDefault="00453EB9" w:rsidP="00E56709">
            <w:pPr>
              <w:rPr>
                <w:rFonts w:ascii="Arial" w:hAnsi="Arial" w:cs="Arial"/>
                <w:b/>
              </w:rPr>
            </w:pPr>
            <w:r w:rsidRPr="00BF5E45">
              <w:rPr>
                <w:rFonts w:ascii="Arial" w:hAnsi="Arial" w:cs="Arial"/>
              </w:rPr>
              <w:t>Approved By:</w:t>
            </w:r>
          </w:p>
          <w:p w14:paraId="5FA1DDBF" w14:textId="77777777" w:rsidR="0062573B" w:rsidRPr="00BF5E45" w:rsidRDefault="0062573B" w:rsidP="00E56709">
            <w:pPr>
              <w:rPr>
                <w:rFonts w:ascii="Arial" w:hAnsi="Arial" w:cs="Arial"/>
              </w:rPr>
            </w:pPr>
          </w:p>
          <w:p w14:paraId="5FC4C9B8" w14:textId="77777777" w:rsidR="0062573B" w:rsidRDefault="00F12763" w:rsidP="0062573B">
            <w:pPr>
              <w:pStyle w:val="PP07-07-14"/>
            </w:pPr>
            <w:r>
              <w:t>Alexandra Rechs, LMFT</w:t>
            </w:r>
          </w:p>
          <w:p w14:paraId="1B7B6FD0" w14:textId="77777777" w:rsidR="00BF5E45" w:rsidRPr="0062573B" w:rsidRDefault="00D07159" w:rsidP="00D07159">
            <w:pPr>
              <w:pStyle w:val="PP07-07-14"/>
              <w:rPr>
                <w:b w:val="0"/>
              </w:rPr>
            </w:pPr>
            <w:r w:rsidRPr="0062573B">
              <w:rPr>
                <w:b w:val="0"/>
              </w:rPr>
              <w:t>Program Manager</w:t>
            </w:r>
            <w:r>
              <w:rPr>
                <w:b w:val="0"/>
              </w:rPr>
              <w:t>,</w:t>
            </w:r>
            <w:r w:rsidRPr="0062573B">
              <w:rPr>
                <w:b w:val="0"/>
              </w:rPr>
              <w:t xml:space="preserve"> </w:t>
            </w:r>
            <w:r>
              <w:rPr>
                <w:b w:val="0"/>
              </w:rPr>
              <w:t>Quality Management</w:t>
            </w:r>
          </w:p>
        </w:tc>
      </w:tr>
    </w:tbl>
    <w:p w14:paraId="045FAB03" w14:textId="77777777" w:rsidR="00DF35F7" w:rsidRPr="00125CFD" w:rsidRDefault="00DF35F7" w:rsidP="00763921">
      <w:pPr>
        <w:spacing w:after="0" w:line="240" w:lineRule="auto"/>
        <w:rPr>
          <w:rFonts w:ascii="Arial" w:hAnsi="Arial" w:cs="Arial"/>
        </w:rPr>
      </w:pPr>
    </w:p>
    <w:p w14:paraId="653056F2" w14:textId="77777777" w:rsidR="00B11B79" w:rsidRPr="00125CFD" w:rsidRDefault="00B11B79" w:rsidP="00763921">
      <w:pPr>
        <w:spacing w:after="0" w:line="240" w:lineRule="auto"/>
        <w:rPr>
          <w:rFonts w:ascii="Arial" w:hAnsi="Arial" w:cs="Arial"/>
        </w:rPr>
      </w:pPr>
    </w:p>
    <w:p w14:paraId="0A847F59" w14:textId="77777777" w:rsidR="00CE7447" w:rsidRPr="00125CFD" w:rsidRDefault="00CE7447" w:rsidP="004A022D">
      <w:pPr>
        <w:spacing w:after="0" w:line="240" w:lineRule="auto"/>
        <w:outlineLvl w:val="0"/>
        <w:rPr>
          <w:rFonts w:ascii="Arial" w:hAnsi="Arial" w:cs="Arial"/>
          <w:b/>
        </w:rPr>
      </w:pPr>
      <w:r w:rsidRPr="00125CFD">
        <w:rPr>
          <w:rFonts w:ascii="Arial" w:hAnsi="Arial" w:cs="Arial"/>
          <w:b/>
        </w:rPr>
        <w:t>BACKGROUND/CONTEXT:</w:t>
      </w:r>
    </w:p>
    <w:p w14:paraId="18162F5C" w14:textId="77777777" w:rsidR="007D3AE6" w:rsidRPr="00125CFD" w:rsidRDefault="007D3AE6" w:rsidP="00102BFE">
      <w:pPr>
        <w:pStyle w:val="PP07-07-14"/>
        <w:rPr>
          <w:b w:val="0"/>
        </w:rPr>
      </w:pPr>
    </w:p>
    <w:p w14:paraId="26238E7A" w14:textId="6E342FDB" w:rsidR="00102BFE" w:rsidRPr="00125CFD" w:rsidRDefault="00102BFE" w:rsidP="00102BFE">
      <w:pPr>
        <w:pStyle w:val="PP07-07-14"/>
        <w:rPr>
          <w:b w:val="0"/>
        </w:rPr>
      </w:pPr>
      <w:r w:rsidRPr="00125CFD">
        <w:rPr>
          <w:b w:val="0"/>
        </w:rPr>
        <w:t xml:space="preserve">It is the policy of the Sacramento County Division </w:t>
      </w:r>
      <w:r w:rsidR="001E71FA">
        <w:rPr>
          <w:b w:val="0"/>
        </w:rPr>
        <w:t>of Behavioral Health Services (</w:t>
      </w:r>
      <w:r w:rsidRPr="00125CFD">
        <w:rPr>
          <w:b w:val="0"/>
        </w:rPr>
        <w:t>BHS) and the Mental Health Plan (MHP) to submit claims to the State</w:t>
      </w:r>
      <w:r w:rsidR="0037579A" w:rsidRPr="00125CFD">
        <w:rPr>
          <w:b w:val="0"/>
        </w:rPr>
        <w:t xml:space="preserve"> of California</w:t>
      </w:r>
      <w:r w:rsidRPr="00125CFD">
        <w:rPr>
          <w:b w:val="0"/>
        </w:rPr>
        <w:t xml:space="preserve"> for Medi-Cal reimbursement in compliance with all state and federal statutory and regulatory requirements for certification of claims, including Title 42, Code of Federal Regulations (CFR) Part 438, §§ 438.604, 438.606, and, as effective August 13, 2003, § 438.608, as published in the June 14, 2002 Federal Register (Vol. 67, No. 115, Page 41112), and Title 9, California Code of Regulations, Division 1, Chapter 11, Subchapter 4, Article 1, § 1840.112.</w:t>
      </w:r>
    </w:p>
    <w:p w14:paraId="3D1D9EAF" w14:textId="77777777" w:rsidR="00537432" w:rsidRPr="00125CFD" w:rsidRDefault="00537432" w:rsidP="00763921">
      <w:pPr>
        <w:spacing w:after="0" w:line="240" w:lineRule="auto"/>
        <w:rPr>
          <w:rFonts w:ascii="Arial" w:hAnsi="Arial" w:cs="Arial"/>
        </w:rPr>
      </w:pPr>
    </w:p>
    <w:p w14:paraId="345D7A8A" w14:textId="77777777" w:rsidR="00763921" w:rsidRPr="00125CFD" w:rsidRDefault="00763921" w:rsidP="00674067">
      <w:pPr>
        <w:spacing w:after="0" w:line="240" w:lineRule="auto"/>
        <w:rPr>
          <w:rFonts w:ascii="Arial" w:hAnsi="Arial" w:cs="Arial"/>
        </w:rPr>
      </w:pPr>
    </w:p>
    <w:p w14:paraId="0132C73E" w14:textId="77777777" w:rsidR="007D3AE6" w:rsidRPr="00125CFD" w:rsidRDefault="00B11B79" w:rsidP="004A022D">
      <w:pPr>
        <w:spacing w:after="0" w:line="240" w:lineRule="auto"/>
        <w:outlineLvl w:val="1"/>
        <w:rPr>
          <w:rFonts w:ascii="Arial" w:hAnsi="Arial" w:cs="Arial"/>
          <w:b/>
        </w:rPr>
      </w:pPr>
      <w:r w:rsidRPr="00125CFD">
        <w:rPr>
          <w:rFonts w:ascii="Arial" w:hAnsi="Arial" w:cs="Arial"/>
          <w:b/>
        </w:rPr>
        <w:t>PURPOSE:</w:t>
      </w:r>
    </w:p>
    <w:p w14:paraId="14125777" w14:textId="77777777" w:rsidR="00B11B79" w:rsidRPr="00125CFD" w:rsidRDefault="00B11B79" w:rsidP="00674067">
      <w:pPr>
        <w:spacing w:after="0" w:line="240" w:lineRule="auto"/>
        <w:rPr>
          <w:rFonts w:ascii="Arial" w:hAnsi="Arial" w:cs="Arial"/>
        </w:rPr>
      </w:pPr>
    </w:p>
    <w:p w14:paraId="1EB21DB7" w14:textId="7CCF4CC4" w:rsidR="00763921" w:rsidRPr="00125CFD" w:rsidRDefault="00102BFE" w:rsidP="0037579A">
      <w:pPr>
        <w:pStyle w:val="PP07-07-14"/>
        <w:rPr>
          <w:b w:val="0"/>
          <w:lang w:eastAsia="en-US"/>
        </w:rPr>
      </w:pPr>
      <w:r w:rsidRPr="00125CFD">
        <w:rPr>
          <w:b w:val="0"/>
          <w:lang w:eastAsia="en-US"/>
        </w:rPr>
        <w:t xml:space="preserve">To </w:t>
      </w:r>
      <w:r w:rsidR="0037579A" w:rsidRPr="00125CFD">
        <w:rPr>
          <w:b w:val="0"/>
          <w:lang w:eastAsia="en-US"/>
        </w:rPr>
        <w:t xml:space="preserve">purpose of this policy is </w:t>
      </w:r>
      <w:proofErr w:type="gramStart"/>
      <w:r w:rsidR="0037579A" w:rsidRPr="00125CFD">
        <w:rPr>
          <w:b w:val="0"/>
          <w:lang w:eastAsia="en-US"/>
        </w:rPr>
        <w:t>provide</w:t>
      </w:r>
      <w:proofErr w:type="gramEnd"/>
      <w:r w:rsidR="0037579A" w:rsidRPr="00125CFD">
        <w:rPr>
          <w:b w:val="0"/>
          <w:lang w:eastAsia="en-US"/>
        </w:rPr>
        <w:t xml:space="preserve"> a process to ensure compliance with Federal regulations as referenced above regarding the provision and verification of Medi-Cal services a</w:t>
      </w:r>
      <w:r w:rsidR="001E71FA">
        <w:rPr>
          <w:b w:val="0"/>
          <w:lang w:eastAsia="en-US"/>
        </w:rPr>
        <w:t xml:space="preserve">uthorized and provided through </w:t>
      </w:r>
      <w:r w:rsidR="0037579A" w:rsidRPr="00125CFD">
        <w:rPr>
          <w:b w:val="0"/>
          <w:lang w:eastAsia="en-US"/>
        </w:rPr>
        <w:t xml:space="preserve">BHS </w:t>
      </w:r>
      <w:r w:rsidR="00125CFD">
        <w:rPr>
          <w:b w:val="0"/>
          <w:lang w:eastAsia="en-US"/>
        </w:rPr>
        <w:t xml:space="preserve">and </w:t>
      </w:r>
      <w:proofErr w:type="gramStart"/>
      <w:r w:rsidR="00125CFD">
        <w:rPr>
          <w:b w:val="0"/>
          <w:lang w:eastAsia="en-US"/>
        </w:rPr>
        <w:t>it’s</w:t>
      </w:r>
      <w:proofErr w:type="gramEnd"/>
      <w:r w:rsidR="00125CFD">
        <w:rPr>
          <w:b w:val="0"/>
          <w:lang w:eastAsia="en-US"/>
        </w:rPr>
        <w:t xml:space="preserve"> contracted providers.</w:t>
      </w:r>
    </w:p>
    <w:p w14:paraId="322ABE46" w14:textId="77777777" w:rsidR="0037579A" w:rsidRPr="00125CFD" w:rsidRDefault="0037579A" w:rsidP="0037579A">
      <w:pPr>
        <w:pStyle w:val="PP07-07-14"/>
        <w:rPr>
          <w:b w:val="0"/>
          <w:lang w:eastAsia="en-US"/>
        </w:rPr>
      </w:pPr>
    </w:p>
    <w:p w14:paraId="2CD25BE2" w14:textId="77777777" w:rsidR="0037579A" w:rsidRPr="00125CFD" w:rsidRDefault="0037579A" w:rsidP="0037579A">
      <w:pPr>
        <w:pStyle w:val="PP07-07-14"/>
        <w:rPr>
          <w:rFonts w:eastAsia="Times New Roman"/>
          <w:b w:val="0"/>
          <w:lang w:eastAsia="en-US"/>
        </w:rPr>
      </w:pPr>
    </w:p>
    <w:p w14:paraId="1D1BC422" w14:textId="77777777" w:rsidR="001E687A" w:rsidRPr="00125CFD" w:rsidRDefault="007D3AE6" w:rsidP="004A022D">
      <w:pPr>
        <w:spacing w:after="0" w:line="240" w:lineRule="auto"/>
        <w:outlineLvl w:val="2"/>
        <w:rPr>
          <w:rFonts w:ascii="Arial" w:hAnsi="Arial" w:cs="Arial"/>
        </w:rPr>
      </w:pPr>
      <w:r w:rsidRPr="00125CFD">
        <w:rPr>
          <w:rFonts w:ascii="Arial" w:hAnsi="Arial" w:cs="Arial"/>
          <w:b/>
        </w:rPr>
        <w:t>DETAILS:</w:t>
      </w:r>
    </w:p>
    <w:p w14:paraId="4D401212" w14:textId="77777777" w:rsidR="007D3AE6" w:rsidRPr="00125CFD" w:rsidRDefault="007D3AE6" w:rsidP="00102BFE">
      <w:pPr>
        <w:pStyle w:val="BlockText"/>
        <w:spacing w:after="0"/>
        <w:ind w:left="0" w:right="0"/>
        <w:outlineLvl w:val="0"/>
        <w:rPr>
          <w:rFonts w:ascii="Arial" w:hAnsi="Arial" w:cs="Arial"/>
          <w:sz w:val="22"/>
          <w:szCs w:val="22"/>
        </w:rPr>
      </w:pPr>
    </w:p>
    <w:p w14:paraId="2E022A33" w14:textId="77777777" w:rsidR="00102BFE" w:rsidRPr="00125CFD" w:rsidRDefault="00102BFE" w:rsidP="004A022D">
      <w:pPr>
        <w:pStyle w:val="PP07-07-14"/>
        <w:outlineLvl w:val="3"/>
        <w:rPr>
          <w:lang w:eastAsia="en-US"/>
        </w:rPr>
      </w:pPr>
      <w:r w:rsidRPr="00125CFD">
        <w:rPr>
          <w:lang w:eastAsia="en-US"/>
        </w:rPr>
        <w:t>Documentation Requirements</w:t>
      </w:r>
      <w:r w:rsidR="00D87215" w:rsidRPr="00125CFD">
        <w:rPr>
          <w:lang w:eastAsia="en-US"/>
        </w:rPr>
        <w:t>:</w:t>
      </w:r>
    </w:p>
    <w:p w14:paraId="2419A6AB" w14:textId="77777777" w:rsidR="00AF75D5" w:rsidRPr="00125CFD" w:rsidRDefault="00AF75D5" w:rsidP="00AF75D5">
      <w:pPr>
        <w:pStyle w:val="PP07-07-14"/>
        <w:rPr>
          <w:b w:val="0"/>
          <w:lang w:eastAsia="en-US"/>
        </w:rPr>
      </w:pPr>
    </w:p>
    <w:p w14:paraId="071BB42F" w14:textId="5CD04AB6" w:rsidR="00102BFE" w:rsidRPr="00125CFD" w:rsidRDefault="00102BFE" w:rsidP="00102BFE">
      <w:pPr>
        <w:pStyle w:val="PP07-07-14"/>
        <w:rPr>
          <w:b w:val="0"/>
          <w:lang w:eastAsia="en-US"/>
        </w:rPr>
      </w:pPr>
      <w:r w:rsidRPr="00125CFD">
        <w:rPr>
          <w:b w:val="0"/>
          <w:lang w:eastAsia="en-US"/>
        </w:rPr>
        <w:t>All Medi-Cal services claimed shall be supported by the following procedures and documentation</w:t>
      </w:r>
      <w:proofErr w:type="gramStart"/>
      <w:r w:rsidRPr="00125CFD">
        <w:rPr>
          <w:b w:val="0"/>
          <w:lang w:eastAsia="en-US"/>
        </w:rPr>
        <w:t>:</w:t>
      </w:r>
      <w:r w:rsidR="00163E1F">
        <w:rPr>
          <w:b w:val="0"/>
          <w:lang w:eastAsia="en-US"/>
        </w:rPr>
        <w:t xml:space="preserve">  </w:t>
      </w:r>
      <w:r w:rsidRPr="00125CFD">
        <w:rPr>
          <w:b w:val="0"/>
          <w:lang w:eastAsia="en-US"/>
        </w:rPr>
        <w:t>Core</w:t>
      </w:r>
      <w:proofErr w:type="gramEnd"/>
      <w:r w:rsidRPr="00125CFD">
        <w:rPr>
          <w:b w:val="0"/>
          <w:lang w:eastAsia="en-US"/>
        </w:rPr>
        <w:t xml:space="preserve"> Assessments</w:t>
      </w:r>
      <w:r w:rsidR="00D7790C" w:rsidRPr="00125CFD">
        <w:rPr>
          <w:b w:val="0"/>
          <w:lang w:eastAsia="en-US"/>
        </w:rPr>
        <w:t xml:space="preserve"> </w:t>
      </w:r>
      <w:r w:rsidRPr="00125CFD">
        <w:rPr>
          <w:b w:val="0"/>
          <w:lang w:eastAsia="en-US"/>
        </w:rPr>
        <w:t xml:space="preserve">and Client Plans will be completed and maintained in the client electronic health record (EHR), in compliance with </w:t>
      </w:r>
      <w:r w:rsidR="001E71FA">
        <w:rPr>
          <w:b w:val="0"/>
          <w:lang w:eastAsia="en-US"/>
        </w:rPr>
        <w:t xml:space="preserve">all </w:t>
      </w:r>
      <w:r w:rsidRPr="00125CFD">
        <w:rPr>
          <w:b w:val="0"/>
          <w:lang w:eastAsia="en-US"/>
        </w:rPr>
        <w:t>BHS Policies and Procedures.</w:t>
      </w:r>
    </w:p>
    <w:p w14:paraId="4CDC1C2E" w14:textId="77777777" w:rsidR="00102BFE" w:rsidRPr="00125CFD" w:rsidRDefault="00102BFE" w:rsidP="00102BFE">
      <w:pPr>
        <w:pStyle w:val="PP07-07-14"/>
        <w:rPr>
          <w:b w:val="0"/>
          <w:lang w:eastAsia="en-US"/>
        </w:rPr>
      </w:pPr>
    </w:p>
    <w:p w14:paraId="3331F7E3" w14:textId="5339AF6F" w:rsidR="00102BFE" w:rsidRDefault="00544475" w:rsidP="00102BFE">
      <w:pPr>
        <w:pStyle w:val="PP07-07-14"/>
        <w:rPr>
          <w:b w:val="0"/>
          <w:lang w:eastAsia="en-US"/>
        </w:rPr>
      </w:pPr>
      <w:r w:rsidRPr="00125CFD">
        <w:rPr>
          <w:b w:val="0"/>
          <w:lang w:eastAsia="en-US"/>
        </w:rPr>
        <w:t xml:space="preserve">All requests </w:t>
      </w:r>
      <w:r w:rsidR="001E4953" w:rsidRPr="00125CFD">
        <w:rPr>
          <w:b w:val="0"/>
          <w:lang w:eastAsia="en-US"/>
        </w:rPr>
        <w:t>for</w:t>
      </w:r>
      <w:r w:rsidRPr="00125CFD">
        <w:rPr>
          <w:b w:val="0"/>
          <w:lang w:eastAsia="en-US"/>
        </w:rPr>
        <w:t xml:space="preserve"> mental health services are received by the centralized Adult and Children’s Access Teams on behalf of the MHP.  Initial eligibility for services is established by the Access </w:t>
      </w:r>
      <w:proofErr w:type="gramStart"/>
      <w:r w:rsidRPr="00125CFD">
        <w:rPr>
          <w:b w:val="0"/>
          <w:lang w:eastAsia="en-US"/>
        </w:rPr>
        <w:t>Teams</w:t>
      </w:r>
      <w:proofErr w:type="gramEnd"/>
      <w:r w:rsidRPr="00125CFD">
        <w:rPr>
          <w:b w:val="0"/>
          <w:lang w:eastAsia="en-US"/>
        </w:rPr>
        <w:t xml:space="preserve"> and subsequent verification is conducted by the assigned service provider. </w:t>
      </w:r>
      <w:r w:rsidR="00125CFD">
        <w:rPr>
          <w:b w:val="0"/>
          <w:lang w:eastAsia="en-US"/>
        </w:rPr>
        <w:t xml:space="preserve"> </w:t>
      </w:r>
      <w:r w:rsidR="00102BFE" w:rsidRPr="00125CFD">
        <w:rPr>
          <w:b w:val="0"/>
          <w:lang w:eastAsia="en-US"/>
        </w:rPr>
        <w:t xml:space="preserve">Medi-Cal eligibility shall be verified and documented prior to the authorization of any behavioral health service </w:t>
      </w:r>
      <w:proofErr w:type="gramStart"/>
      <w:r w:rsidR="00102BFE" w:rsidRPr="00125CFD">
        <w:rPr>
          <w:b w:val="0"/>
          <w:lang w:eastAsia="en-US"/>
        </w:rPr>
        <w:t>on a monthly basis</w:t>
      </w:r>
      <w:proofErr w:type="gramEnd"/>
      <w:r w:rsidR="00102BFE" w:rsidRPr="00125CFD">
        <w:rPr>
          <w:b w:val="0"/>
          <w:lang w:eastAsia="en-US"/>
        </w:rPr>
        <w:t>, by all behavioral health providers</w:t>
      </w:r>
      <w:r w:rsidR="00D17DBF" w:rsidRPr="00125CFD">
        <w:rPr>
          <w:b w:val="0"/>
          <w:lang w:eastAsia="en-US"/>
        </w:rPr>
        <w:t>,</w:t>
      </w:r>
      <w:r w:rsidR="00102BFE" w:rsidRPr="00125CFD">
        <w:rPr>
          <w:b w:val="0"/>
          <w:lang w:eastAsia="en-US"/>
        </w:rPr>
        <w:t xml:space="preserve"> </w:t>
      </w:r>
      <w:proofErr w:type="gramStart"/>
      <w:r w:rsidR="00102BFE" w:rsidRPr="00125CFD">
        <w:rPr>
          <w:b w:val="0"/>
          <w:lang w:eastAsia="en-US"/>
        </w:rPr>
        <w:t>as per</w:t>
      </w:r>
      <w:proofErr w:type="gramEnd"/>
      <w:r w:rsidR="00102BFE" w:rsidRPr="00125CFD">
        <w:rPr>
          <w:b w:val="0"/>
          <w:lang w:eastAsia="en-US"/>
        </w:rPr>
        <w:t xml:space="preserve"> agreed </w:t>
      </w:r>
      <w:proofErr w:type="gramStart"/>
      <w:r w:rsidR="00102BFE" w:rsidRPr="00125CFD">
        <w:rPr>
          <w:b w:val="0"/>
          <w:lang w:eastAsia="en-US"/>
        </w:rPr>
        <w:t>upon</w:t>
      </w:r>
      <w:proofErr w:type="gramEnd"/>
      <w:r w:rsidR="00102BFE" w:rsidRPr="00125CFD">
        <w:rPr>
          <w:b w:val="0"/>
          <w:lang w:eastAsia="en-US"/>
        </w:rPr>
        <w:t xml:space="preserve"> contract and in</w:t>
      </w:r>
      <w:r w:rsidR="001E71FA">
        <w:rPr>
          <w:b w:val="0"/>
          <w:lang w:eastAsia="en-US"/>
        </w:rPr>
        <w:t xml:space="preserve"> compliance with all </w:t>
      </w:r>
      <w:r w:rsidR="00102BFE" w:rsidRPr="00125CFD">
        <w:rPr>
          <w:b w:val="0"/>
          <w:lang w:eastAsia="en-US"/>
        </w:rPr>
        <w:t xml:space="preserve">BHS Policies and Procedures.  </w:t>
      </w:r>
      <w:r w:rsidR="00125CFD">
        <w:rPr>
          <w:b w:val="0"/>
          <w:lang w:eastAsia="en-US"/>
        </w:rPr>
        <w:t>S</w:t>
      </w:r>
      <w:r w:rsidR="00102BFE" w:rsidRPr="00125CFD">
        <w:rPr>
          <w:b w:val="0"/>
          <w:lang w:eastAsia="en-US"/>
        </w:rPr>
        <w:t>ubsequent verification is conducted by assigned service provider.</w:t>
      </w:r>
    </w:p>
    <w:p w14:paraId="1EFF9DE0" w14:textId="77777777" w:rsidR="00125CFD" w:rsidRPr="00125CFD" w:rsidRDefault="00125CFD" w:rsidP="00102BFE">
      <w:pPr>
        <w:pStyle w:val="PP07-07-14"/>
        <w:rPr>
          <w:b w:val="0"/>
          <w:lang w:eastAsia="en-US"/>
        </w:rPr>
      </w:pPr>
    </w:p>
    <w:p w14:paraId="4F586F1E" w14:textId="332A81B3" w:rsidR="00102BFE" w:rsidRPr="00125CFD" w:rsidRDefault="00102BFE" w:rsidP="00102BFE">
      <w:pPr>
        <w:pStyle w:val="PP07-07-14"/>
        <w:rPr>
          <w:b w:val="0"/>
          <w:lang w:eastAsia="en-US"/>
        </w:rPr>
      </w:pPr>
      <w:r w:rsidRPr="00125CFD">
        <w:rPr>
          <w:b w:val="0"/>
          <w:lang w:eastAsia="en-US"/>
        </w:rPr>
        <w:t xml:space="preserve">All Medi-Cal services claimed shall be provided in accordance with all </w:t>
      </w:r>
      <w:r w:rsidR="00F1098D" w:rsidRPr="00125CFD">
        <w:rPr>
          <w:b w:val="0"/>
          <w:lang w:eastAsia="en-US"/>
        </w:rPr>
        <w:t xml:space="preserve">BHS </w:t>
      </w:r>
      <w:r w:rsidRPr="00125CFD">
        <w:rPr>
          <w:b w:val="0"/>
          <w:lang w:eastAsia="en-US"/>
        </w:rPr>
        <w:t>Policies and Procedures and shall be supported by a completed Progress Note retained in the client EHR.</w:t>
      </w:r>
      <w:r w:rsidR="00083E04" w:rsidRPr="00125CFD">
        <w:rPr>
          <w:b w:val="0"/>
          <w:lang w:eastAsia="en-US"/>
        </w:rPr>
        <w:t xml:space="preserve">  All progress notes will be electronically sign</w:t>
      </w:r>
      <w:r w:rsidR="00544475" w:rsidRPr="00125CFD">
        <w:rPr>
          <w:b w:val="0"/>
          <w:lang w:eastAsia="en-US"/>
        </w:rPr>
        <w:t>ed</w:t>
      </w:r>
      <w:r w:rsidR="00083E04" w:rsidRPr="00125CFD">
        <w:rPr>
          <w:b w:val="0"/>
          <w:lang w:eastAsia="en-US"/>
        </w:rPr>
        <w:t xml:space="preserve"> by the author, as an attestation, that the services were delive</w:t>
      </w:r>
      <w:r w:rsidR="00811EB1" w:rsidRPr="00125CFD">
        <w:rPr>
          <w:b w:val="0"/>
          <w:lang w:eastAsia="en-US"/>
        </w:rPr>
        <w:t>red in accordance with Title 42</w:t>
      </w:r>
      <w:r w:rsidR="00125CFD">
        <w:rPr>
          <w:b w:val="0"/>
          <w:lang w:eastAsia="en-US"/>
        </w:rPr>
        <w:t>, Code of Federal Regulations.</w:t>
      </w:r>
    </w:p>
    <w:p w14:paraId="0EABBC73" w14:textId="77777777" w:rsidR="00102BFE" w:rsidRPr="00125CFD" w:rsidRDefault="00102BFE" w:rsidP="00102BFE">
      <w:pPr>
        <w:pStyle w:val="PP07-07-14"/>
        <w:rPr>
          <w:b w:val="0"/>
          <w:lang w:eastAsia="en-US"/>
        </w:rPr>
      </w:pPr>
    </w:p>
    <w:p w14:paraId="6D69467D" w14:textId="0D74ECE0" w:rsidR="00102BFE" w:rsidRPr="00125CFD" w:rsidRDefault="00102BFE" w:rsidP="00102BFE">
      <w:pPr>
        <w:pStyle w:val="PP07-07-14"/>
        <w:rPr>
          <w:b w:val="0"/>
          <w:lang w:eastAsia="en-US"/>
        </w:rPr>
      </w:pPr>
      <w:r w:rsidRPr="00125CFD">
        <w:rPr>
          <w:b w:val="0"/>
          <w:lang w:eastAsia="en-US"/>
        </w:rPr>
        <w:lastRenderedPageBreak/>
        <w:t xml:space="preserve">Medical necessity shall be established for each beneficiary, as defined in </w:t>
      </w:r>
      <w:r w:rsidRPr="00125CFD">
        <w:rPr>
          <w:b w:val="0"/>
          <w:bCs/>
          <w:lang w:eastAsia="en-US"/>
        </w:rPr>
        <w:t>Title 9, California Code of Regulations</w:t>
      </w:r>
      <w:r w:rsidRPr="00125CFD">
        <w:rPr>
          <w:b w:val="0"/>
          <w:lang w:eastAsia="en-US"/>
        </w:rPr>
        <w:t>, Division 1, Chapter 11, for the service or services provided, for the timeframe in which the services were provided</w:t>
      </w:r>
      <w:r w:rsidR="001E71FA">
        <w:rPr>
          <w:b w:val="0"/>
          <w:lang w:eastAsia="en-US"/>
        </w:rPr>
        <w:t xml:space="preserve">, and in accordance with all </w:t>
      </w:r>
      <w:r w:rsidR="00F1098D" w:rsidRPr="00125CFD">
        <w:rPr>
          <w:b w:val="0"/>
          <w:lang w:eastAsia="en-US"/>
        </w:rPr>
        <w:t>BHS</w:t>
      </w:r>
      <w:r w:rsidRPr="00125CFD">
        <w:rPr>
          <w:b w:val="0"/>
          <w:lang w:eastAsia="en-US"/>
        </w:rPr>
        <w:t xml:space="preserve"> Policies and Procedures.  The establishment of medical necessity shall be documented with a completed Core Assessment, Client Plan, and a Progress Note.  All documentation is to be retained in the EHR, including appropriate authorization forms from the ACCESS team.</w:t>
      </w:r>
    </w:p>
    <w:p w14:paraId="7AC22AE2" w14:textId="77777777" w:rsidR="00102BFE" w:rsidRPr="00125CFD" w:rsidRDefault="00102BFE" w:rsidP="00102BFE">
      <w:pPr>
        <w:pStyle w:val="PP07-07-14"/>
        <w:rPr>
          <w:b w:val="0"/>
          <w:lang w:eastAsia="en-US"/>
        </w:rPr>
      </w:pPr>
    </w:p>
    <w:p w14:paraId="05F41B83" w14:textId="2E05F128" w:rsidR="00102BFE" w:rsidRPr="00125CFD" w:rsidRDefault="00102BFE" w:rsidP="00102BFE">
      <w:pPr>
        <w:pStyle w:val="PP07-07-14"/>
        <w:rPr>
          <w:b w:val="0"/>
          <w:lang w:eastAsia="en-US"/>
        </w:rPr>
      </w:pPr>
      <w:r w:rsidRPr="00125CFD">
        <w:rPr>
          <w:b w:val="0"/>
          <w:lang w:eastAsia="en-US"/>
        </w:rPr>
        <w:t>A Client Plan shall be developed and maintained on an annual basis for each benefi</w:t>
      </w:r>
      <w:r w:rsidR="001E71FA">
        <w:rPr>
          <w:b w:val="0"/>
          <w:lang w:eastAsia="en-US"/>
        </w:rPr>
        <w:t xml:space="preserve">ciary in accordance with all </w:t>
      </w:r>
      <w:r w:rsidR="00F1098D" w:rsidRPr="00125CFD">
        <w:rPr>
          <w:b w:val="0"/>
          <w:lang w:eastAsia="en-US"/>
        </w:rPr>
        <w:t>BHS</w:t>
      </w:r>
      <w:r w:rsidRPr="00125CFD">
        <w:rPr>
          <w:b w:val="0"/>
          <w:lang w:eastAsia="en-US"/>
        </w:rPr>
        <w:t xml:space="preserve"> Policies and Procedures.  Designated prog</w:t>
      </w:r>
      <w:r w:rsidR="00D17DBF" w:rsidRPr="00125CFD">
        <w:rPr>
          <w:b w:val="0"/>
          <w:lang w:eastAsia="en-US"/>
        </w:rPr>
        <w:t>rams or services abide by Access</w:t>
      </w:r>
      <w:r w:rsidRPr="00125CFD">
        <w:rPr>
          <w:b w:val="0"/>
          <w:lang w:eastAsia="en-US"/>
        </w:rPr>
        <w:t xml:space="preserve"> Team Policies for more frequent reassessments required for continued authorization.</w:t>
      </w:r>
    </w:p>
    <w:p w14:paraId="00D02A5D" w14:textId="77777777" w:rsidR="00102BFE" w:rsidRPr="00125CFD" w:rsidRDefault="00102BFE" w:rsidP="00102BFE">
      <w:pPr>
        <w:pStyle w:val="PP07-07-14"/>
        <w:rPr>
          <w:b w:val="0"/>
          <w:lang w:eastAsia="en-US"/>
        </w:rPr>
      </w:pPr>
    </w:p>
    <w:p w14:paraId="4CF5E6FC" w14:textId="4235F73A" w:rsidR="00102BFE" w:rsidRPr="00125CFD" w:rsidRDefault="00102BFE" w:rsidP="00102BFE">
      <w:pPr>
        <w:pStyle w:val="PP07-07-14"/>
        <w:rPr>
          <w:b w:val="0"/>
          <w:lang w:eastAsia="en-US"/>
        </w:rPr>
      </w:pPr>
      <w:r w:rsidRPr="00125CFD">
        <w:rPr>
          <w:b w:val="0"/>
          <w:lang w:eastAsia="en-US"/>
        </w:rPr>
        <w:t>All day rehabilitation, day treatment intensive</w:t>
      </w:r>
      <w:r w:rsidR="00056FC4" w:rsidRPr="00125CFD">
        <w:rPr>
          <w:b w:val="0"/>
          <w:lang w:eastAsia="en-US"/>
        </w:rPr>
        <w:t>,</w:t>
      </w:r>
      <w:r w:rsidRPr="00125CFD">
        <w:rPr>
          <w:b w:val="0"/>
          <w:lang w:eastAsia="en-US"/>
        </w:rPr>
        <w:t xml:space="preserve"> or EPSDT supplemental specialty mental health services shall be pre-authorized and shall meet all regulatory require</w:t>
      </w:r>
      <w:r w:rsidR="00D53AA0">
        <w:rPr>
          <w:b w:val="0"/>
          <w:lang w:eastAsia="en-US"/>
        </w:rPr>
        <w:t xml:space="preserve">ments in accordance with all </w:t>
      </w:r>
      <w:r w:rsidR="00F1098D" w:rsidRPr="00125CFD">
        <w:rPr>
          <w:b w:val="0"/>
          <w:lang w:eastAsia="en-US"/>
        </w:rPr>
        <w:t>BHS</w:t>
      </w:r>
      <w:r w:rsidRPr="00125CFD">
        <w:rPr>
          <w:b w:val="0"/>
          <w:lang w:eastAsia="en-US"/>
        </w:rPr>
        <w:t xml:space="preserve"> Policies and Procedures, prior to any claim for such services provided.</w:t>
      </w:r>
    </w:p>
    <w:p w14:paraId="10AB2A0B" w14:textId="77777777" w:rsidR="00102BFE" w:rsidRPr="00125CFD" w:rsidRDefault="00102BFE" w:rsidP="00102BFE">
      <w:pPr>
        <w:pStyle w:val="PP07-07-14"/>
        <w:rPr>
          <w:b w:val="0"/>
          <w:lang w:eastAsia="en-US"/>
        </w:rPr>
      </w:pPr>
    </w:p>
    <w:p w14:paraId="1178946F" w14:textId="77777777" w:rsidR="00102BFE" w:rsidRPr="00125CFD" w:rsidRDefault="00102BFE" w:rsidP="004A022D">
      <w:pPr>
        <w:pStyle w:val="PP07-07-14"/>
        <w:outlineLvl w:val="0"/>
        <w:rPr>
          <w:lang w:eastAsia="en-US"/>
        </w:rPr>
      </w:pPr>
      <w:r w:rsidRPr="00125CFD">
        <w:rPr>
          <w:lang w:eastAsia="en-US"/>
        </w:rPr>
        <w:t>Service Verification</w:t>
      </w:r>
      <w:r w:rsidR="00AF75D5" w:rsidRPr="00125CFD">
        <w:rPr>
          <w:lang w:eastAsia="en-US"/>
        </w:rPr>
        <w:t>:</w:t>
      </w:r>
    </w:p>
    <w:p w14:paraId="59E30EC9" w14:textId="77777777" w:rsidR="00AF75D5" w:rsidRPr="00125CFD" w:rsidRDefault="00AF75D5" w:rsidP="00102BFE">
      <w:pPr>
        <w:pStyle w:val="PP07-07-14"/>
        <w:rPr>
          <w:b w:val="0"/>
          <w:lang w:eastAsia="en-US"/>
        </w:rPr>
      </w:pPr>
    </w:p>
    <w:p w14:paraId="76BB1227" w14:textId="57D8CC70" w:rsidR="00102BFE" w:rsidRPr="00125CFD" w:rsidRDefault="00102BFE" w:rsidP="00102BFE">
      <w:pPr>
        <w:pStyle w:val="PP07-07-14"/>
        <w:rPr>
          <w:b w:val="0"/>
          <w:lang w:eastAsia="en-US"/>
        </w:rPr>
      </w:pPr>
      <w:r w:rsidRPr="00125CFD">
        <w:rPr>
          <w:b w:val="0"/>
          <w:lang w:eastAsia="en-US"/>
        </w:rPr>
        <w:t>All BHS Contracted and County Operated Service providers will implement a service verification survey to verify that a service claimed w</w:t>
      </w:r>
      <w:r w:rsidR="004110CE" w:rsidRPr="00125CFD">
        <w:rPr>
          <w:b w:val="0"/>
          <w:lang w:eastAsia="en-US"/>
        </w:rPr>
        <w:t>as provided to the beneficiary.</w:t>
      </w:r>
      <w:r w:rsidRPr="00125CFD">
        <w:rPr>
          <w:b w:val="0"/>
          <w:lang w:eastAsia="en-US"/>
        </w:rPr>
        <w:t xml:space="preserve">  It is the intent of the MHP t</w:t>
      </w:r>
      <w:r w:rsidR="00544475" w:rsidRPr="00125CFD">
        <w:rPr>
          <w:b w:val="0"/>
          <w:lang w:eastAsia="en-US"/>
        </w:rPr>
        <w:t xml:space="preserve">o verify at least 5% of client visits </w:t>
      </w:r>
      <w:r w:rsidRPr="00125CFD">
        <w:rPr>
          <w:b w:val="0"/>
          <w:lang w:eastAsia="en-US"/>
        </w:rPr>
        <w:t>per month.</w:t>
      </w:r>
    </w:p>
    <w:p w14:paraId="01B459E8" w14:textId="77777777" w:rsidR="00102BFE" w:rsidRPr="00125CFD" w:rsidRDefault="00102BFE" w:rsidP="00102BFE">
      <w:pPr>
        <w:pStyle w:val="PP07-07-14"/>
        <w:rPr>
          <w:b w:val="0"/>
          <w:lang w:eastAsia="en-US"/>
        </w:rPr>
      </w:pPr>
    </w:p>
    <w:p w14:paraId="7EE9D6F2" w14:textId="2DE64752" w:rsidR="00102BFE" w:rsidRPr="00125CFD" w:rsidRDefault="00102BFE" w:rsidP="00102BFE">
      <w:pPr>
        <w:pStyle w:val="PP07-07-14"/>
        <w:rPr>
          <w:b w:val="0"/>
          <w:lang w:eastAsia="en-US"/>
        </w:rPr>
      </w:pPr>
      <w:r w:rsidRPr="00125CFD">
        <w:rPr>
          <w:b w:val="0"/>
          <w:lang w:eastAsia="en-US"/>
        </w:rPr>
        <w:t xml:space="preserve">Upon completion of a </w:t>
      </w:r>
      <w:proofErr w:type="gramStart"/>
      <w:r w:rsidR="00544475" w:rsidRPr="00125CFD">
        <w:rPr>
          <w:b w:val="0"/>
          <w:lang w:eastAsia="en-US"/>
        </w:rPr>
        <w:t>face to face</w:t>
      </w:r>
      <w:proofErr w:type="gramEnd"/>
      <w:r w:rsidR="00544475" w:rsidRPr="00125CFD">
        <w:rPr>
          <w:b w:val="0"/>
          <w:lang w:eastAsia="en-US"/>
        </w:rPr>
        <w:t xml:space="preserve"> </w:t>
      </w:r>
      <w:r w:rsidRPr="00125CFD">
        <w:rPr>
          <w:b w:val="0"/>
          <w:lang w:eastAsia="en-US"/>
        </w:rPr>
        <w:t xml:space="preserve">service, </w:t>
      </w:r>
      <w:r w:rsidR="00D87215" w:rsidRPr="00125CFD">
        <w:rPr>
          <w:b w:val="0"/>
          <w:lang w:eastAsia="en-US"/>
        </w:rPr>
        <w:t xml:space="preserve">providers will offer </w:t>
      </w:r>
      <w:r w:rsidRPr="00125CFD">
        <w:rPr>
          <w:b w:val="0"/>
          <w:lang w:eastAsia="en-US"/>
        </w:rPr>
        <w:t xml:space="preserve">clients a short survey </w:t>
      </w:r>
      <w:r w:rsidR="00544475" w:rsidRPr="00125CFD">
        <w:rPr>
          <w:b w:val="0"/>
          <w:lang w:eastAsia="en-US"/>
        </w:rPr>
        <w:t xml:space="preserve">that verifies receipt of mental health services on that visit.  The survey will ask </w:t>
      </w:r>
      <w:r w:rsidRPr="00125CFD">
        <w:rPr>
          <w:b w:val="0"/>
          <w:lang w:eastAsia="en-US"/>
        </w:rPr>
        <w:t>which provider(s) were met with and the approximate length of their appointment</w:t>
      </w:r>
      <w:r w:rsidR="00D17DBF" w:rsidRPr="00125CFD">
        <w:rPr>
          <w:b w:val="0"/>
          <w:lang w:eastAsia="en-US"/>
        </w:rPr>
        <w:t xml:space="preserve"> (see A</w:t>
      </w:r>
      <w:r w:rsidR="00D87215" w:rsidRPr="00125CFD">
        <w:rPr>
          <w:b w:val="0"/>
          <w:lang w:eastAsia="en-US"/>
        </w:rPr>
        <w:t>ttach</w:t>
      </w:r>
      <w:r w:rsidR="00CE5AF5" w:rsidRPr="00125CFD">
        <w:rPr>
          <w:b w:val="0"/>
          <w:lang w:eastAsia="en-US"/>
        </w:rPr>
        <w:t>ment “A-</w:t>
      </w:r>
      <w:r w:rsidR="00D87215" w:rsidRPr="00125CFD">
        <w:rPr>
          <w:b w:val="0"/>
          <w:lang w:eastAsia="en-US"/>
        </w:rPr>
        <w:t xml:space="preserve"> </w:t>
      </w:r>
      <w:r w:rsidR="00CE5AF5" w:rsidRPr="00125CFD">
        <w:rPr>
          <w:b w:val="0"/>
        </w:rPr>
        <w:t>Services Verification Card (English)”</w:t>
      </w:r>
      <w:r w:rsidR="00AF75D5" w:rsidRPr="00125CFD">
        <w:rPr>
          <w:b w:val="0"/>
        </w:rPr>
        <w:t>.</w:t>
      </w:r>
      <w:r w:rsidR="00D17DBF" w:rsidRPr="00125CFD">
        <w:rPr>
          <w:b w:val="0"/>
        </w:rPr>
        <w:t xml:space="preserve">  Surveys </w:t>
      </w:r>
      <w:r w:rsidR="001E71FA">
        <w:rPr>
          <w:b w:val="0"/>
        </w:rPr>
        <w:t xml:space="preserve">are translated into </w:t>
      </w:r>
      <w:proofErr w:type="gramStart"/>
      <w:r w:rsidR="001E71FA">
        <w:rPr>
          <w:b w:val="0"/>
        </w:rPr>
        <w:t>all of</w:t>
      </w:r>
      <w:proofErr w:type="gramEnd"/>
      <w:r w:rsidR="001E71FA">
        <w:rPr>
          <w:b w:val="0"/>
        </w:rPr>
        <w:t xml:space="preserve"> the </w:t>
      </w:r>
      <w:r w:rsidR="00D17DBF" w:rsidRPr="00125CFD">
        <w:rPr>
          <w:b w:val="0"/>
        </w:rPr>
        <w:t>BHS threshold languages (See Attachments B-</w:t>
      </w:r>
      <w:r w:rsidR="00F72F12">
        <w:rPr>
          <w:b w:val="0"/>
        </w:rPr>
        <w:t>H)</w:t>
      </w:r>
      <w:r w:rsidR="004110CE" w:rsidRPr="00125CFD">
        <w:rPr>
          <w:b w:val="0"/>
        </w:rPr>
        <w:t>.</w:t>
      </w:r>
    </w:p>
    <w:p w14:paraId="6BE7EE8F" w14:textId="77777777" w:rsidR="00102BFE" w:rsidRPr="00125CFD" w:rsidRDefault="00102BFE" w:rsidP="00102BFE">
      <w:pPr>
        <w:pStyle w:val="PP07-07-14"/>
        <w:rPr>
          <w:b w:val="0"/>
          <w:lang w:eastAsia="en-US"/>
        </w:rPr>
      </w:pPr>
    </w:p>
    <w:p w14:paraId="3BB7E367" w14:textId="77777777" w:rsidR="00102BFE" w:rsidRPr="00125CFD" w:rsidRDefault="00D87215" w:rsidP="00102BFE">
      <w:pPr>
        <w:pStyle w:val="PP07-07-14"/>
        <w:rPr>
          <w:b w:val="0"/>
          <w:lang w:eastAsia="en-US"/>
        </w:rPr>
      </w:pPr>
      <w:proofErr w:type="gramStart"/>
      <w:r w:rsidRPr="00125CFD">
        <w:rPr>
          <w:b w:val="0"/>
          <w:lang w:eastAsia="en-US"/>
        </w:rPr>
        <w:t>A provider</w:t>
      </w:r>
      <w:proofErr w:type="gramEnd"/>
      <w:r w:rsidRPr="00125CFD">
        <w:rPr>
          <w:b w:val="0"/>
          <w:lang w:eastAsia="en-US"/>
        </w:rPr>
        <w:t xml:space="preserve"> staff member other than the staff that provided the service shall be responsible for verifying services</w:t>
      </w:r>
      <w:r w:rsidR="00544475" w:rsidRPr="00125CFD">
        <w:rPr>
          <w:b w:val="0"/>
          <w:lang w:eastAsia="en-US"/>
        </w:rPr>
        <w:t xml:space="preserve">. </w:t>
      </w:r>
      <w:r w:rsidR="00125CFD">
        <w:rPr>
          <w:b w:val="0"/>
          <w:lang w:eastAsia="en-US"/>
        </w:rPr>
        <w:t xml:space="preserve"> </w:t>
      </w:r>
      <w:r w:rsidR="00544475" w:rsidRPr="00125CFD">
        <w:rPr>
          <w:b w:val="0"/>
          <w:lang w:eastAsia="en-US"/>
        </w:rPr>
        <w:t xml:space="preserve">Services will be verified by matching a random sample </w:t>
      </w:r>
      <w:r w:rsidRPr="00125CFD">
        <w:rPr>
          <w:b w:val="0"/>
          <w:lang w:eastAsia="en-US"/>
        </w:rPr>
        <w:t xml:space="preserve">of the </w:t>
      </w:r>
      <w:r w:rsidR="00102BFE" w:rsidRPr="00125CFD">
        <w:rPr>
          <w:b w:val="0"/>
          <w:lang w:eastAsia="en-US"/>
        </w:rPr>
        <w:t xml:space="preserve">Survey responses </w:t>
      </w:r>
      <w:r w:rsidR="00E105D5" w:rsidRPr="00125CFD">
        <w:rPr>
          <w:b w:val="0"/>
          <w:lang w:eastAsia="en-US"/>
        </w:rPr>
        <w:t xml:space="preserve">received each month </w:t>
      </w:r>
      <w:r w:rsidR="00544475" w:rsidRPr="00125CFD">
        <w:rPr>
          <w:b w:val="0"/>
          <w:lang w:eastAsia="en-US"/>
        </w:rPr>
        <w:t xml:space="preserve">(random sample must be equal to at least 5% of the client visits in the month) </w:t>
      </w:r>
      <w:r w:rsidR="00102BFE" w:rsidRPr="00125CFD">
        <w:rPr>
          <w:b w:val="0"/>
          <w:lang w:eastAsia="en-US"/>
        </w:rPr>
        <w:t>with the</w:t>
      </w:r>
      <w:r w:rsidR="00E105D5" w:rsidRPr="00125CFD">
        <w:rPr>
          <w:b w:val="0"/>
          <w:lang w:eastAsia="en-US"/>
        </w:rPr>
        <w:t xml:space="preserve"> corresponding</w:t>
      </w:r>
      <w:r w:rsidR="00102BFE" w:rsidRPr="00125CFD">
        <w:rPr>
          <w:b w:val="0"/>
          <w:lang w:eastAsia="en-US"/>
        </w:rPr>
        <w:t xml:space="preserve"> billed claims </w:t>
      </w:r>
      <w:r w:rsidR="00E105D5" w:rsidRPr="00125CFD">
        <w:rPr>
          <w:b w:val="0"/>
          <w:lang w:eastAsia="en-US"/>
        </w:rPr>
        <w:t xml:space="preserve">documented </w:t>
      </w:r>
      <w:r w:rsidR="004110CE" w:rsidRPr="00125CFD">
        <w:rPr>
          <w:b w:val="0"/>
          <w:lang w:eastAsia="en-US"/>
        </w:rPr>
        <w:t>in the electronic health record</w:t>
      </w:r>
      <w:r w:rsidR="00102BFE" w:rsidRPr="00125CFD">
        <w:rPr>
          <w:b w:val="0"/>
          <w:lang w:eastAsia="en-US"/>
        </w:rPr>
        <w:t>.</w:t>
      </w:r>
      <w:r w:rsidR="00E105D5" w:rsidRPr="00125CFD">
        <w:rPr>
          <w:b w:val="0"/>
          <w:lang w:eastAsia="en-US"/>
        </w:rPr>
        <w:t xml:space="preserve">  Providers are responsible for ensuring that the</w:t>
      </w:r>
      <w:r w:rsidR="0037579A" w:rsidRPr="00125CFD">
        <w:rPr>
          <w:b w:val="0"/>
          <w:lang w:eastAsia="en-US"/>
        </w:rPr>
        <w:t xml:space="preserve"> Surveys used to verify services are chosen </w:t>
      </w:r>
      <w:r w:rsidR="00E105D5" w:rsidRPr="00125CFD">
        <w:rPr>
          <w:b w:val="0"/>
          <w:lang w:eastAsia="en-US"/>
        </w:rPr>
        <w:t>using a randomized selection method.</w:t>
      </w:r>
    </w:p>
    <w:p w14:paraId="189BBF36" w14:textId="77777777" w:rsidR="00102BFE" w:rsidRPr="00125CFD" w:rsidRDefault="00102BFE" w:rsidP="00102BFE">
      <w:pPr>
        <w:pStyle w:val="PP07-07-14"/>
        <w:rPr>
          <w:b w:val="0"/>
          <w:lang w:eastAsia="en-US"/>
        </w:rPr>
      </w:pPr>
    </w:p>
    <w:p w14:paraId="2A033776" w14:textId="3DC26427" w:rsidR="00102BFE" w:rsidRPr="00125CFD" w:rsidRDefault="00102BFE" w:rsidP="00102BFE">
      <w:pPr>
        <w:pStyle w:val="PP07-07-14"/>
        <w:rPr>
          <w:b w:val="0"/>
          <w:lang w:eastAsia="en-US"/>
        </w:rPr>
      </w:pPr>
      <w:r w:rsidRPr="00125CFD">
        <w:rPr>
          <w:b w:val="0"/>
          <w:lang w:eastAsia="en-US"/>
        </w:rPr>
        <w:t>Any inconsistencies in billing, claiming, and documentation will be investigated</w:t>
      </w:r>
      <w:r w:rsidR="00D17DBF" w:rsidRPr="00125CFD">
        <w:rPr>
          <w:b w:val="0"/>
          <w:lang w:eastAsia="en-US"/>
        </w:rPr>
        <w:t xml:space="preserve"> by</w:t>
      </w:r>
      <w:r w:rsidR="00E105D5" w:rsidRPr="00125CFD">
        <w:rPr>
          <w:b w:val="0"/>
          <w:lang w:eastAsia="en-US"/>
        </w:rPr>
        <w:t xml:space="preserve"> </w:t>
      </w:r>
      <w:r w:rsidR="00785A87" w:rsidRPr="00125CFD">
        <w:rPr>
          <w:b w:val="0"/>
          <w:lang w:eastAsia="en-US"/>
        </w:rPr>
        <w:t>the Clinical Director</w:t>
      </w:r>
      <w:r w:rsidRPr="00125CFD">
        <w:rPr>
          <w:b w:val="0"/>
          <w:lang w:eastAsia="en-US"/>
        </w:rPr>
        <w:t xml:space="preserve"> to determine if the claim was an innocent error or a fraudulent act.  If a fraudulent act is suspected, the </w:t>
      </w:r>
      <w:r w:rsidR="00AF75D5" w:rsidRPr="00125CFD">
        <w:rPr>
          <w:b w:val="0"/>
          <w:lang w:eastAsia="en-US"/>
        </w:rPr>
        <w:t>Clinical Director</w:t>
      </w:r>
      <w:r w:rsidRPr="00125CFD">
        <w:rPr>
          <w:b w:val="0"/>
          <w:lang w:eastAsia="en-US"/>
        </w:rPr>
        <w:t xml:space="preserve"> will contact the </w:t>
      </w:r>
      <w:r w:rsidR="00F1098D" w:rsidRPr="00125CFD">
        <w:rPr>
          <w:b w:val="0"/>
          <w:lang w:eastAsia="en-US"/>
        </w:rPr>
        <w:t>D</w:t>
      </w:r>
      <w:r w:rsidRPr="00125CFD">
        <w:rPr>
          <w:b w:val="0"/>
          <w:lang w:eastAsia="en-US"/>
        </w:rPr>
        <w:t xml:space="preserve">BHS Compliance Officer for further investigation and reporting in accordance with the BHS Compliance Program and </w:t>
      </w:r>
      <w:r w:rsidR="00FC73BD" w:rsidRPr="00125CFD">
        <w:rPr>
          <w:b w:val="0"/>
          <w:lang w:eastAsia="en-US"/>
        </w:rPr>
        <w:t xml:space="preserve">BHS </w:t>
      </w:r>
      <w:r w:rsidRPr="00125CFD">
        <w:rPr>
          <w:b w:val="0"/>
          <w:lang w:eastAsia="en-US"/>
        </w:rPr>
        <w:t>Issue Reporting P</w:t>
      </w:r>
      <w:r w:rsidR="00FC73BD" w:rsidRPr="00125CFD">
        <w:rPr>
          <w:b w:val="0"/>
          <w:lang w:eastAsia="en-US"/>
        </w:rPr>
        <w:t>olicies.</w:t>
      </w:r>
    </w:p>
    <w:p w14:paraId="58737039" w14:textId="77777777" w:rsidR="00102BFE" w:rsidRPr="00125CFD" w:rsidRDefault="00102BFE" w:rsidP="00102BFE">
      <w:pPr>
        <w:pStyle w:val="PP07-07-14"/>
        <w:rPr>
          <w:b w:val="0"/>
          <w:lang w:eastAsia="en-US"/>
        </w:rPr>
      </w:pPr>
    </w:p>
    <w:p w14:paraId="5FA52A0D" w14:textId="77777777" w:rsidR="00AF75D5" w:rsidRPr="00125CFD" w:rsidRDefault="00AF75D5" w:rsidP="00AF75D5">
      <w:pPr>
        <w:pStyle w:val="PP07-07-14"/>
        <w:rPr>
          <w:b w:val="0"/>
          <w:lang w:eastAsia="en-US"/>
        </w:rPr>
      </w:pPr>
      <w:r w:rsidRPr="00125CFD">
        <w:rPr>
          <w:b w:val="0"/>
          <w:lang w:eastAsia="en-US"/>
        </w:rPr>
        <w:t>Inconsistencies determined to be an innocent error will be processed in accordance with the Deletion of Op</w:t>
      </w:r>
      <w:r w:rsidR="00125CFD">
        <w:rPr>
          <w:b w:val="0"/>
          <w:lang w:eastAsia="en-US"/>
        </w:rPr>
        <w:t>en Charges and Claims Policy.</w:t>
      </w:r>
    </w:p>
    <w:p w14:paraId="5E4B0B6A" w14:textId="77777777" w:rsidR="00AF75D5" w:rsidRPr="00125CFD" w:rsidRDefault="00AF75D5" w:rsidP="00102BFE">
      <w:pPr>
        <w:pStyle w:val="PP07-07-14"/>
        <w:rPr>
          <w:b w:val="0"/>
          <w:lang w:eastAsia="en-US"/>
        </w:rPr>
      </w:pPr>
    </w:p>
    <w:p w14:paraId="0001C16C" w14:textId="155A97A5" w:rsidR="00102BFE" w:rsidRPr="00125CFD" w:rsidRDefault="00102BFE" w:rsidP="00102BFE">
      <w:pPr>
        <w:pStyle w:val="PP07-07-14"/>
        <w:rPr>
          <w:b w:val="0"/>
          <w:lang w:eastAsia="en-US"/>
        </w:rPr>
      </w:pPr>
      <w:r w:rsidRPr="00125CFD">
        <w:rPr>
          <w:b w:val="0"/>
          <w:lang w:eastAsia="en-US"/>
        </w:rPr>
        <w:t xml:space="preserve">If the provider is not using the BHS Compliance Program policies, the agency must update their Compliance Program policies to include the Service Verification Process described in this document.  Providers will send a copy of the updated policies to </w:t>
      </w:r>
      <w:r w:rsidR="00E105D5" w:rsidRPr="00125CFD">
        <w:rPr>
          <w:b w:val="0"/>
          <w:lang w:eastAsia="en-US"/>
        </w:rPr>
        <w:t xml:space="preserve">the </w:t>
      </w:r>
      <w:r w:rsidR="00125CFD">
        <w:rPr>
          <w:b w:val="0"/>
          <w:lang w:eastAsia="en-US"/>
        </w:rPr>
        <w:t>BHS Compliance Officer.</w:t>
      </w:r>
    </w:p>
    <w:p w14:paraId="5E65EC87" w14:textId="77777777" w:rsidR="00102BFE" w:rsidRPr="00125CFD" w:rsidRDefault="00102BFE" w:rsidP="00102BFE">
      <w:pPr>
        <w:pStyle w:val="PP07-07-14"/>
        <w:rPr>
          <w:b w:val="0"/>
          <w:lang w:eastAsia="en-US"/>
        </w:rPr>
      </w:pPr>
    </w:p>
    <w:p w14:paraId="072FDBE7" w14:textId="77777777" w:rsidR="00102BFE" w:rsidRPr="00125CFD" w:rsidRDefault="00102BFE" w:rsidP="00102BFE">
      <w:pPr>
        <w:pStyle w:val="PP07-07-14"/>
        <w:rPr>
          <w:b w:val="0"/>
          <w:lang w:eastAsia="en-US"/>
        </w:rPr>
      </w:pPr>
      <w:r w:rsidRPr="00125CFD">
        <w:rPr>
          <w:b w:val="0"/>
          <w:lang w:eastAsia="en-US"/>
        </w:rPr>
        <w:t>Surveys will be provided to providers in all MHP Threshold Languages.</w:t>
      </w:r>
    </w:p>
    <w:p w14:paraId="5213DAA0" w14:textId="77777777" w:rsidR="00102BFE" w:rsidRPr="00125CFD" w:rsidRDefault="00102BFE" w:rsidP="00102BFE">
      <w:pPr>
        <w:pStyle w:val="PP07-07-14"/>
        <w:rPr>
          <w:b w:val="0"/>
          <w:lang w:eastAsia="en-US"/>
        </w:rPr>
      </w:pPr>
    </w:p>
    <w:p w14:paraId="5EB6FE52" w14:textId="55EA1FFA" w:rsidR="0037579A" w:rsidRPr="00125CFD" w:rsidRDefault="00E105D5" w:rsidP="00102BFE">
      <w:pPr>
        <w:pStyle w:val="PP07-07-14"/>
        <w:rPr>
          <w:b w:val="0"/>
          <w:lang w:eastAsia="en-US"/>
        </w:rPr>
      </w:pPr>
      <w:r w:rsidRPr="00125CFD">
        <w:rPr>
          <w:b w:val="0"/>
          <w:lang w:eastAsia="en-US"/>
        </w:rPr>
        <w:t xml:space="preserve">Providers </w:t>
      </w:r>
      <w:r w:rsidR="00F83804" w:rsidRPr="00125CFD">
        <w:rPr>
          <w:b w:val="0"/>
          <w:lang w:eastAsia="en-US"/>
        </w:rPr>
        <w:t>must</w:t>
      </w:r>
      <w:r w:rsidR="00102BFE" w:rsidRPr="00125CFD">
        <w:rPr>
          <w:b w:val="0"/>
          <w:lang w:eastAsia="en-US"/>
        </w:rPr>
        <w:t xml:space="preserve"> report</w:t>
      </w:r>
      <w:r w:rsidR="00E4392B" w:rsidRPr="00125CFD">
        <w:rPr>
          <w:b w:val="0"/>
          <w:lang w:eastAsia="en-US"/>
        </w:rPr>
        <w:t xml:space="preserve"> the monthly</w:t>
      </w:r>
      <w:r w:rsidR="00102BFE" w:rsidRPr="00125CFD">
        <w:rPr>
          <w:b w:val="0"/>
          <w:lang w:eastAsia="en-US"/>
        </w:rPr>
        <w:t xml:space="preserve"> survey results </w:t>
      </w:r>
      <w:r w:rsidR="00E4392B" w:rsidRPr="00125CFD">
        <w:rPr>
          <w:b w:val="0"/>
          <w:lang w:eastAsia="en-US"/>
        </w:rPr>
        <w:t>in the</w:t>
      </w:r>
      <w:r w:rsidR="00932E51" w:rsidRPr="00125CFD">
        <w:rPr>
          <w:b w:val="0"/>
          <w:lang w:eastAsia="en-US"/>
        </w:rPr>
        <w:t xml:space="preserve"> QM section of the</w:t>
      </w:r>
      <w:r w:rsidR="00E4392B" w:rsidRPr="00125CFD">
        <w:rPr>
          <w:b w:val="0"/>
          <w:lang w:eastAsia="en-US"/>
        </w:rPr>
        <w:t xml:space="preserve"> Quarterly Report submitted to the </w:t>
      </w:r>
      <w:r w:rsidR="00932E51" w:rsidRPr="00125CFD">
        <w:rPr>
          <w:b w:val="0"/>
          <w:lang w:eastAsia="en-US"/>
        </w:rPr>
        <w:t xml:space="preserve">Program </w:t>
      </w:r>
      <w:r w:rsidR="00125CFD">
        <w:rPr>
          <w:b w:val="0"/>
          <w:lang w:eastAsia="en-US"/>
        </w:rPr>
        <w:t>Contract Monitor for QM review</w:t>
      </w:r>
      <w:r w:rsidR="00E52036">
        <w:rPr>
          <w:b w:val="0"/>
          <w:lang w:eastAsia="en-US"/>
        </w:rPr>
        <w:t xml:space="preserve"> by the 10</w:t>
      </w:r>
      <w:r w:rsidR="00E52036" w:rsidRPr="00E52036">
        <w:rPr>
          <w:b w:val="0"/>
          <w:vertAlign w:val="superscript"/>
          <w:lang w:eastAsia="en-US"/>
        </w:rPr>
        <w:t>th</w:t>
      </w:r>
      <w:r w:rsidR="00E52036">
        <w:rPr>
          <w:b w:val="0"/>
          <w:lang w:eastAsia="en-US"/>
        </w:rPr>
        <w:t xml:space="preserve"> of the subsequent month</w:t>
      </w:r>
      <w:r w:rsidR="00125CFD">
        <w:rPr>
          <w:b w:val="0"/>
          <w:lang w:eastAsia="en-US"/>
        </w:rPr>
        <w:t>.</w:t>
      </w:r>
    </w:p>
    <w:p w14:paraId="2D477398" w14:textId="77777777" w:rsidR="00E4392B" w:rsidRPr="00125CFD" w:rsidRDefault="00E4392B" w:rsidP="00102BFE">
      <w:pPr>
        <w:pStyle w:val="PP07-07-14"/>
        <w:rPr>
          <w:b w:val="0"/>
          <w:lang w:eastAsia="en-US"/>
        </w:rPr>
      </w:pPr>
    </w:p>
    <w:p w14:paraId="292A65F6" w14:textId="77777777" w:rsidR="00102BFE" w:rsidRPr="00125CFD" w:rsidRDefault="00102BFE" w:rsidP="00102BFE">
      <w:pPr>
        <w:pStyle w:val="PP07-07-14"/>
        <w:rPr>
          <w:b w:val="0"/>
          <w:lang w:eastAsia="en-US"/>
        </w:rPr>
      </w:pPr>
      <w:r w:rsidRPr="00125CFD">
        <w:rPr>
          <w:b w:val="0"/>
          <w:lang w:eastAsia="en-US"/>
        </w:rPr>
        <w:t>Providers must save all survey</w:t>
      </w:r>
      <w:r w:rsidR="00D338C5" w:rsidRPr="00125CFD">
        <w:rPr>
          <w:b w:val="0"/>
          <w:lang w:eastAsia="en-US"/>
        </w:rPr>
        <w:t xml:space="preserve">s </w:t>
      </w:r>
      <w:r w:rsidR="00AF75D5" w:rsidRPr="00125CFD">
        <w:rPr>
          <w:b w:val="0"/>
          <w:lang w:eastAsia="en-US"/>
        </w:rPr>
        <w:t>(</w:t>
      </w:r>
      <w:r w:rsidR="00D338C5" w:rsidRPr="00125CFD">
        <w:rPr>
          <w:b w:val="0"/>
          <w:lang w:eastAsia="en-US"/>
        </w:rPr>
        <w:t>even though only 5% are verified</w:t>
      </w:r>
      <w:r w:rsidR="00AF75D5" w:rsidRPr="00125CFD">
        <w:rPr>
          <w:b w:val="0"/>
          <w:lang w:eastAsia="en-US"/>
        </w:rPr>
        <w:t>)</w:t>
      </w:r>
      <w:r w:rsidRPr="00125CFD">
        <w:rPr>
          <w:b w:val="0"/>
          <w:lang w:eastAsia="en-US"/>
        </w:rPr>
        <w:t xml:space="preserve"> and a copy of the </w:t>
      </w:r>
      <w:r w:rsidR="00932E51" w:rsidRPr="00125CFD">
        <w:rPr>
          <w:b w:val="0"/>
          <w:lang w:eastAsia="en-US"/>
        </w:rPr>
        <w:t xml:space="preserve">Quarterly Report </w:t>
      </w:r>
      <w:r w:rsidRPr="00125CFD">
        <w:rPr>
          <w:b w:val="0"/>
          <w:lang w:eastAsia="en-US"/>
        </w:rPr>
        <w:t xml:space="preserve">for at least three years. </w:t>
      </w:r>
      <w:r w:rsidR="0037579A" w:rsidRPr="00125CFD">
        <w:rPr>
          <w:b w:val="0"/>
          <w:lang w:eastAsia="en-US"/>
        </w:rPr>
        <w:t xml:space="preserve"> Surveys used in the verification of services should be easily identifiable and all </w:t>
      </w:r>
      <w:r w:rsidR="00E105D5" w:rsidRPr="00125CFD">
        <w:rPr>
          <w:b w:val="0"/>
          <w:lang w:eastAsia="en-US"/>
        </w:rPr>
        <w:t xml:space="preserve">surveys must be readily </w:t>
      </w:r>
      <w:r w:rsidR="001E4953" w:rsidRPr="00125CFD">
        <w:rPr>
          <w:b w:val="0"/>
          <w:lang w:eastAsia="en-US"/>
        </w:rPr>
        <w:t>accessible</w:t>
      </w:r>
      <w:r w:rsidR="00CE5AF5" w:rsidRPr="00125CFD">
        <w:rPr>
          <w:b w:val="0"/>
          <w:lang w:eastAsia="en-US"/>
        </w:rPr>
        <w:t xml:space="preserve"> upon request of a County representative for monitoring and auditing purposes.</w:t>
      </w:r>
    </w:p>
    <w:p w14:paraId="5A965CBE" w14:textId="77777777" w:rsidR="00125CFD" w:rsidRDefault="00125CFD" w:rsidP="00102BFE">
      <w:pPr>
        <w:pStyle w:val="PP07-07-14"/>
        <w:rPr>
          <w:b w:val="0"/>
        </w:rPr>
      </w:pPr>
    </w:p>
    <w:p w14:paraId="5570BEB6" w14:textId="77777777" w:rsidR="00125CFD" w:rsidRDefault="00125CFD" w:rsidP="00102BFE">
      <w:pPr>
        <w:pStyle w:val="PP07-07-14"/>
        <w:rPr>
          <w:b w:val="0"/>
        </w:rPr>
      </w:pPr>
    </w:p>
    <w:p w14:paraId="61513637" w14:textId="77777777" w:rsidR="00710C5E" w:rsidRDefault="00710C5E" w:rsidP="00102BFE">
      <w:pPr>
        <w:pStyle w:val="PP07-07-14"/>
        <w:rPr>
          <w:b w:val="0"/>
        </w:rPr>
      </w:pPr>
    </w:p>
    <w:p w14:paraId="0399BD9E" w14:textId="77777777" w:rsidR="00710C5E" w:rsidRDefault="00710C5E" w:rsidP="00102BFE">
      <w:pPr>
        <w:pStyle w:val="PP07-07-14"/>
        <w:rPr>
          <w:b w:val="0"/>
        </w:rPr>
      </w:pPr>
    </w:p>
    <w:p w14:paraId="3C0BFD83" w14:textId="77777777" w:rsidR="00710C5E" w:rsidRDefault="00710C5E" w:rsidP="00102BFE">
      <w:pPr>
        <w:pStyle w:val="PP07-07-14"/>
        <w:rPr>
          <w:b w:val="0"/>
        </w:rPr>
      </w:pPr>
    </w:p>
    <w:p w14:paraId="33095D63" w14:textId="77777777" w:rsidR="00710C5E" w:rsidRPr="00125CFD" w:rsidRDefault="00710C5E" w:rsidP="00102BFE">
      <w:pPr>
        <w:pStyle w:val="PP07-07-14"/>
        <w:rPr>
          <w:b w:val="0"/>
        </w:rPr>
      </w:pPr>
    </w:p>
    <w:p w14:paraId="09506DCB" w14:textId="77777777" w:rsidR="00102BFE" w:rsidRDefault="00661456" w:rsidP="004A022D">
      <w:pPr>
        <w:spacing w:after="0" w:line="240" w:lineRule="auto"/>
        <w:outlineLvl w:val="0"/>
        <w:rPr>
          <w:rFonts w:ascii="Arial" w:hAnsi="Arial" w:cs="Arial"/>
          <w:b/>
        </w:rPr>
      </w:pPr>
      <w:proofErr w:type="gramStart"/>
      <w:r w:rsidRPr="00125CFD">
        <w:rPr>
          <w:rFonts w:ascii="Arial" w:hAnsi="Arial" w:cs="Arial"/>
          <w:b/>
        </w:rPr>
        <w:t>REFERENCE</w:t>
      </w:r>
      <w:r w:rsidR="00B11B79" w:rsidRPr="00125CFD">
        <w:rPr>
          <w:rFonts w:ascii="Arial" w:hAnsi="Arial" w:cs="Arial"/>
          <w:b/>
        </w:rPr>
        <w:t>S</w:t>
      </w:r>
      <w:proofErr w:type="gramEnd"/>
      <w:r w:rsidR="007A11E8" w:rsidRPr="00125CFD">
        <w:rPr>
          <w:rFonts w:ascii="Arial" w:hAnsi="Arial" w:cs="Arial"/>
          <w:b/>
        </w:rPr>
        <w:t>:</w:t>
      </w:r>
    </w:p>
    <w:p w14:paraId="6D90BB84" w14:textId="77777777" w:rsidR="00125CFD" w:rsidRPr="00125CFD" w:rsidRDefault="00125CFD" w:rsidP="00102BFE">
      <w:pPr>
        <w:spacing w:after="0" w:line="240" w:lineRule="auto"/>
        <w:rPr>
          <w:rFonts w:ascii="Arial" w:hAnsi="Arial" w:cs="Arial"/>
        </w:rPr>
      </w:pPr>
    </w:p>
    <w:p w14:paraId="6476AEB0" w14:textId="77777777" w:rsidR="00102BFE" w:rsidRPr="00125CFD" w:rsidRDefault="00102BFE" w:rsidP="00163E1F">
      <w:pPr>
        <w:pStyle w:val="ListParagraph"/>
        <w:numPr>
          <w:ilvl w:val="0"/>
          <w:numId w:val="28"/>
        </w:numPr>
        <w:spacing w:after="0" w:line="240" w:lineRule="auto"/>
        <w:ind w:left="360"/>
        <w:rPr>
          <w:rFonts w:ascii="Arial" w:eastAsia="Times New Roman" w:hAnsi="Arial" w:cs="Arial"/>
          <w:lang w:eastAsia="en-US"/>
        </w:rPr>
      </w:pPr>
      <w:r w:rsidRPr="00125CFD">
        <w:rPr>
          <w:rFonts w:ascii="Arial" w:eastAsia="Times New Roman" w:hAnsi="Arial" w:cs="Arial"/>
          <w:lang w:eastAsia="en-US"/>
        </w:rPr>
        <w:t>Title 42, Code of Federal Regulations, §438.608</w:t>
      </w:r>
    </w:p>
    <w:p w14:paraId="381879F8" w14:textId="77777777" w:rsidR="00102BFE" w:rsidRPr="00125CFD" w:rsidRDefault="00102BFE" w:rsidP="00163E1F">
      <w:pPr>
        <w:pStyle w:val="ListParagraph"/>
        <w:numPr>
          <w:ilvl w:val="0"/>
          <w:numId w:val="28"/>
        </w:numPr>
        <w:spacing w:after="0" w:line="240" w:lineRule="auto"/>
        <w:ind w:left="360"/>
        <w:rPr>
          <w:rFonts w:ascii="Arial" w:eastAsia="Times New Roman" w:hAnsi="Arial" w:cs="Arial"/>
          <w:lang w:eastAsia="en-US"/>
        </w:rPr>
      </w:pPr>
      <w:r w:rsidRPr="00125CFD">
        <w:rPr>
          <w:rFonts w:ascii="Arial" w:eastAsia="Times New Roman" w:hAnsi="Arial" w:cs="Arial"/>
          <w:lang w:eastAsia="en-US"/>
        </w:rPr>
        <w:t>Title 42, Code of Federal Regulations, §455.1(a)(2) and §455.20(a)</w:t>
      </w:r>
    </w:p>
    <w:p w14:paraId="1E0BE561" w14:textId="77777777" w:rsidR="00102BFE" w:rsidRPr="00125CFD" w:rsidRDefault="00102BFE" w:rsidP="00163E1F">
      <w:pPr>
        <w:pStyle w:val="ListParagraph"/>
        <w:numPr>
          <w:ilvl w:val="0"/>
          <w:numId w:val="28"/>
        </w:numPr>
        <w:spacing w:after="0" w:line="240" w:lineRule="auto"/>
        <w:ind w:left="360"/>
        <w:rPr>
          <w:rFonts w:ascii="Arial" w:eastAsia="Times New Roman" w:hAnsi="Arial" w:cs="Arial"/>
          <w:lang w:eastAsia="en-US"/>
        </w:rPr>
      </w:pPr>
      <w:r w:rsidRPr="00125CFD">
        <w:rPr>
          <w:rFonts w:ascii="Arial" w:eastAsia="Times New Roman" w:hAnsi="Arial" w:cs="Arial"/>
          <w:lang w:eastAsia="en-US"/>
        </w:rPr>
        <w:t>Title 9, California Code of Regulations, §1840.112</w:t>
      </w:r>
    </w:p>
    <w:p w14:paraId="496B7C40" w14:textId="77777777" w:rsidR="00102BFE" w:rsidRPr="00125CFD" w:rsidRDefault="00102BFE" w:rsidP="00163E1F">
      <w:pPr>
        <w:pStyle w:val="ListParagraph"/>
        <w:numPr>
          <w:ilvl w:val="0"/>
          <w:numId w:val="28"/>
        </w:numPr>
        <w:spacing w:after="0" w:line="240" w:lineRule="auto"/>
        <w:ind w:left="360"/>
        <w:rPr>
          <w:rFonts w:ascii="Arial" w:hAnsi="Arial" w:cs="Arial"/>
          <w:b/>
        </w:rPr>
      </w:pPr>
      <w:r w:rsidRPr="00125CFD">
        <w:rPr>
          <w:rFonts w:ascii="Arial" w:eastAsia="Times New Roman" w:hAnsi="Arial" w:cs="Arial"/>
          <w:lang w:eastAsia="en-US"/>
        </w:rPr>
        <w:t>Social Security Act, Subpart A §1902(a)(4) and §1909</w:t>
      </w:r>
    </w:p>
    <w:p w14:paraId="3B8A7E10" w14:textId="77777777" w:rsidR="00102BFE" w:rsidRPr="00125CFD" w:rsidRDefault="00102BFE" w:rsidP="00163E1F">
      <w:pPr>
        <w:pStyle w:val="ListParagraph"/>
        <w:numPr>
          <w:ilvl w:val="0"/>
          <w:numId w:val="28"/>
        </w:numPr>
        <w:spacing w:after="0" w:line="240" w:lineRule="auto"/>
        <w:ind w:left="360"/>
        <w:rPr>
          <w:rFonts w:ascii="Arial" w:hAnsi="Arial" w:cs="Arial"/>
          <w:b/>
        </w:rPr>
      </w:pPr>
      <w:r w:rsidRPr="00125CFD">
        <w:rPr>
          <w:rFonts w:ascii="Arial" w:eastAsia="Times New Roman" w:hAnsi="Arial" w:cs="Arial"/>
          <w:lang w:eastAsia="en-US"/>
        </w:rPr>
        <w:t>MHP Contract, Exhibit A, Attachment I</w:t>
      </w:r>
    </w:p>
    <w:p w14:paraId="4B130B59" w14:textId="77777777" w:rsidR="00102BFE" w:rsidRPr="00125CFD" w:rsidRDefault="00102BFE" w:rsidP="00102BFE">
      <w:pPr>
        <w:spacing w:after="0" w:line="240" w:lineRule="auto"/>
        <w:rPr>
          <w:rFonts w:ascii="Arial" w:hAnsi="Arial" w:cs="Arial"/>
        </w:rPr>
      </w:pPr>
    </w:p>
    <w:p w14:paraId="34A71F83" w14:textId="77777777" w:rsidR="00102BFE" w:rsidRPr="00125CFD" w:rsidRDefault="00102BFE" w:rsidP="00102BFE">
      <w:pPr>
        <w:spacing w:after="0" w:line="240" w:lineRule="auto"/>
        <w:rPr>
          <w:rFonts w:ascii="Arial" w:hAnsi="Arial" w:cs="Arial"/>
        </w:rPr>
      </w:pPr>
    </w:p>
    <w:p w14:paraId="0A70B7B0" w14:textId="77777777" w:rsidR="00102BFE" w:rsidRDefault="00102BFE" w:rsidP="004A022D">
      <w:pPr>
        <w:spacing w:after="0" w:line="240" w:lineRule="auto"/>
        <w:outlineLvl w:val="1"/>
        <w:rPr>
          <w:rFonts w:ascii="Arial" w:hAnsi="Arial" w:cs="Arial"/>
          <w:b/>
        </w:rPr>
      </w:pPr>
      <w:r w:rsidRPr="00125CFD">
        <w:rPr>
          <w:rFonts w:ascii="Arial" w:hAnsi="Arial" w:cs="Arial"/>
          <w:b/>
        </w:rPr>
        <w:t>ATTACHMENTS:</w:t>
      </w:r>
    </w:p>
    <w:p w14:paraId="21439F46" w14:textId="77777777" w:rsidR="00125CFD" w:rsidRPr="00125CFD" w:rsidRDefault="00125CFD" w:rsidP="00102BFE">
      <w:pPr>
        <w:spacing w:after="0" w:line="240" w:lineRule="auto"/>
        <w:rPr>
          <w:rFonts w:ascii="Arial" w:hAnsi="Arial" w:cs="Arial"/>
        </w:rPr>
      </w:pPr>
    </w:p>
    <w:p w14:paraId="3A420D15" w14:textId="77777777" w:rsidR="00102BFE" w:rsidRPr="00125CFD" w:rsidRDefault="0005418C" w:rsidP="00125CFD">
      <w:pPr>
        <w:pStyle w:val="ListParagraph"/>
        <w:numPr>
          <w:ilvl w:val="0"/>
          <w:numId w:val="28"/>
        </w:numPr>
        <w:spacing w:after="0" w:line="240" w:lineRule="auto"/>
        <w:ind w:left="360"/>
        <w:rPr>
          <w:rFonts w:ascii="Arial" w:hAnsi="Arial" w:cs="Arial"/>
        </w:rPr>
      </w:pPr>
      <w:r>
        <w:rPr>
          <w:rFonts w:ascii="Arial" w:hAnsi="Arial" w:cs="Arial"/>
        </w:rPr>
        <w:t>A-Service</w:t>
      </w:r>
      <w:r w:rsidR="00102BFE" w:rsidRPr="00125CFD">
        <w:rPr>
          <w:rFonts w:ascii="Arial" w:hAnsi="Arial" w:cs="Arial"/>
        </w:rPr>
        <w:t xml:space="preserve"> Verification Card (English)</w:t>
      </w:r>
    </w:p>
    <w:p w14:paraId="12FCB181" w14:textId="77777777" w:rsidR="00102BFE" w:rsidRPr="00125CFD" w:rsidRDefault="00102BFE" w:rsidP="00125CFD">
      <w:pPr>
        <w:pStyle w:val="ListParagraph"/>
        <w:numPr>
          <w:ilvl w:val="0"/>
          <w:numId w:val="28"/>
        </w:numPr>
        <w:spacing w:after="0" w:line="240" w:lineRule="auto"/>
        <w:ind w:left="360"/>
        <w:rPr>
          <w:rFonts w:ascii="Arial" w:hAnsi="Arial" w:cs="Arial"/>
        </w:rPr>
      </w:pPr>
      <w:r w:rsidRPr="00125CFD">
        <w:rPr>
          <w:rFonts w:ascii="Arial" w:hAnsi="Arial" w:cs="Arial"/>
        </w:rPr>
        <w:t>B-Service Verification Card (Russian)</w:t>
      </w:r>
    </w:p>
    <w:p w14:paraId="0332514C" w14:textId="77777777" w:rsidR="00102BFE" w:rsidRPr="00125CFD" w:rsidRDefault="00102BFE" w:rsidP="00125CFD">
      <w:pPr>
        <w:pStyle w:val="ListParagraph"/>
        <w:numPr>
          <w:ilvl w:val="0"/>
          <w:numId w:val="28"/>
        </w:numPr>
        <w:spacing w:after="0" w:line="240" w:lineRule="auto"/>
        <w:ind w:left="360"/>
        <w:rPr>
          <w:rFonts w:ascii="Arial" w:hAnsi="Arial" w:cs="Arial"/>
        </w:rPr>
      </w:pPr>
      <w:r w:rsidRPr="00125CFD">
        <w:rPr>
          <w:rFonts w:ascii="Arial" w:hAnsi="Arial" w:cs="Arial"/>
        </w:rPr>
        <w:t>C-Service Verification Card (Spanish)</w:t>
      </w:r>
    </w:p>
    <w:p w14:paraId="3C658343" w14:textId="77777777" w:rsidR="00102BFE" w:rsidRPr="00125CFD" w:rsidRDefault="00102BFE" w:rsidP="00125CFD">
      <w:pPr>
        <w:pStyle w:val="ListParagraph"/>
        <w:numPr>
          <w:ilvl w:val="0"/>
          <w:numId w:val="28"/>
        </w:numPr>
        <w:spacing w:after="0" w:line="240" w:lineRule="auto"/>
        <w:ind w:left="360"/>
        <w:rPr>
          <w:rFonts w:ascii="Arial" w:hAnsi="Arial" w:cs="Arial"/>
        </w:rPr>
      </w:pPr>
      <w:r w:rsidRPr="00125CFD">
        <w:rPr>
          <w:rFonts w:ascii="Arial" w:hAnsi="Arial" w:cs="Arial"/>
        </w:rPr>
        <w:t>D-Service Verification Card (Vietnamese)</w:t>
      </w:r>
    </w:p>
    <w:p w14:paraId="1D697317" w14:textId="77777777" w:rsidR="00102BFE" w:rsidRPr="00125CFD" w:rsidRDefault="00102BFE" w:rsidP="00125CFD">
      <w:pPr>
        <w:pStyle w:val="ListParagraph"/>
        <w:numPr>
          <w:ilvl w:val="0"/>
          <w:numId w:val="28"/>
        </w:numPr>
        <w:spacing w:after="0" w:line="240" w:lineRule="auto"/>
        <w:ind w:left="360"/>
        <w:rPr>
          <w:rFonts w:ascii="Arial" w:hAnsi="Arial" w:cs="Arial"/>
        </w:rPr>
      </w:pPr>
      <w:r w:rsidRPr="00125CFD">
        <w:rPr>
          <w:rFonts w:ascii="Arial" w:hAnsi="Arial" w:cs="Arial"/>
        </w:rPr>
        <w:t>E-Service Verification Card (Cantonese)</w:t>
      </w:r>
    </w:p>
    <w:p w14:paraId="71710A5A" w14:textId="77777777" w:rsidR="00102BFE" w:rsidRDefault="00102BFE" w:rsidP="00125CFD">
      <w:pPr>
        <w:pStyle w:val="ListParagraph"/>
        <w:numPr>
          <w:ilvl w:val="0"/>
          <w:numId w:val="28"/>
        </w:numPr>
        <w:spacing w:after="0" w:line="240" w:lineRule="auto"/>
        <w:ind w:left="360"/>
        <w:rPr>
          <w:rFonts w:ascii="Arial" w:hAnsi="Arial" w:cs="Arial"/>
        </w:rPr>
      </w:pPr>
      <w:r w:rsidRPr="00125CFD">
        <w:rPr>
          <w:rFonts w:ascii="Arial" w:hAnsi="Arial" w:cs="Arial"/>
        </w:rPr>
        <w:t>F-Service Verification Card (Hmong)</w:t>
      </w:r>
    </w:p>
    <w:p w14:paraId="18A70619" w14:textId="40C2B60C" w:rsidR="00477A1A" w:rsidRDefault="00F72F12" w:rsidP="00477A1A">
      <w:pPr>
        <w:pStyle w:val="ListParagraph"/>
        <w:numPr>
          <w:ilvl w:val="0"/>
          <w:numId w:val="28"/>
        </w:numPr>
        <w:spacing w:after="0" w:line="240" w:lineRule="auto"/>
        <w:ind w:left="360"/>
        <w:rPr>
          <w:rFonts w:ascii="Arial" w:hAnsi="Arial" w:cs="Arial"/>
        </w:rPr>
      </w:pPr>
      <w:r>
        <w:rPr>
          <w:rFonts w:ascii="Arial" w:hAnsi="Arial" w:cs="Arial"/>
        </w:rPr>
        <w:t>G</w:t>
      </w:r>
      <w:r w:rsidR="00477A1A" w:rsidRPr="00125CFD">
        <w:rPr>
          <w:rFonts w:ascii="Arial" w:hAnsi="Arial" w:cs="Arial"/>
        </w:rPr>
        <w:t>-Service Verification Card (</w:t>
      </w:r>
      <w:r w:rsidR="00477A1A">
        <w:rPr>
          <w:rFonts w:ascii="Arial" w:hAnsi="Arial" w:cs="Arial"/>
        </w:rPr>
        <w:t>Arabic</w:t>
      </w:r>
      <w:r w:rsidR="00477A1A" w:rsidRPr="00125CFD">
        <w:rPr>
          <w:rFonts w:ascii="Arial" w:hAnsi="Arial" w:cs="Arial"/>
        </w:rPr>
        <w:t>)</w:t>
      </w:r>
    </w:p>
    <w:p w14:paraId="5AA1BA08" w14:textId="77777777" w:rsidR="00F72F12" w:rsidRDefault="00F72F12" w:rsidP="00477A1A">
      <w:pPr>
        <w:pStyle w:val="ListParagraph"/>
        <w:numPr>
          <w:ilvl w:val="0"/>
          <w:numId w:val="28"/>
        </w:numPr>
        <w:spacing w:after="0" w:line="240" w:lineRule="auto"/>
        <w:ind w:left="360"/>
        <w:rPr>
          <w:rFonts w:ascii="Arial" w:hAnsi="Arial" w:cs="Arial"/>
        </w:rPr>
      </w:pPr>
      <w:r>
        <w:rPr>
          <w:rFonts w:ascii="Arial" w:hAnsi="Arial" w:cs="Arial"/>
        </w:rPr>
        <w:t>H-Service Verification Card (Farsi)</w:t>
      </w:r>
    </w:p>
    <w:p w14:paraId="5D7AD2FA" w14:textId="77777777" w:rsidR="004322FE" w:rsidRDefault="004322FE" w:rsidP="00102BFE">
      <w:pPr>
        <w:spacing w:after="0" w:line="240" w:lineRule="auto"/>
        <w:rPr>
          <w:rFonts w:ascii="Arial" w:hAnsi="Arial" w:cs="Arial"/>
        </w:rPr>
      </w:pPr>
    </w:p>
    <w:p w14:paraId="4BFC9B55" w14:textId="77777777" w:rsidR="00125CFD" w:rsidRPr="00125CFD" w:rsidRDefault="00125CFD" w:rsidP="00102BFE">
      <w:pPr>
        <w:spacing w:after="0" w:line="240" w:lineRule="auto"/>
        <w:rPr>
          <w:rFonts w:ascii="Arial" w:hAnsi="Arial" w:cs="Arial"/>
        </w:rPr>
      </w:pPr>
    </w:p>
    <w:p w14:paraId="34DFF5E7" w14:textId="77777777" w:rsidR="001E687A" w:rsidRDefault="00B11B79" w:rsidP="004A022D">
      <w:pPr>
        <w:spacing w:after="0" w:line="240" w:lineRule="auto"/>
        <w:outlineLvl w:val="2"/>
        <w:rPr>
          <w:rFonts w:ascii="Arial" w:hAnsi="Arial" w:cs="Arial"/>
          <w:b/>
        </w:rPr>
      </w:pPr>
      <w:r w:rsidRPr="00125CFD">
        <w:rPr>
          <w:rFonts w:ascii="Arial" w:hAnsi="Arial" w:cs="Arial"/>
          <w:b/>
        </w:rPr>
        <w:t>RELATED POLICIES:</w:t>
      </w:r>
    </w:p>
    <w:p w14:paraId="0EE97996" w14:textId="77777777" w:rsidR="00125CFD" w:rsidRPr="00125CFD" w:rsidRDefault="00125CFD" w:rsidP="00102BFE">
      <w:pPr>
        <w:spacing w:after="0" w:line="240" w:lineRule="auto"/>
        <w:rPr>
          <w:rFonts w:ascii="Arial" w:hAnsi="Arial" w:cs="Arial"/>
        </w:rPr>
      </w:pPr>
    </w:p>
    <w:p w14:paraId="2DEA1ABA" w14:textId="77777777" w:rsidR="00102BFE" w:rsidRPr="00125CFD" w:rsidRDefault="00102BFE"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No</w:t>
      </w:r>
      <w:r w:rsidRPr="00710C5E">
        <w:rPr>
          <w:rFonts w:ascii="Arial" w:hAnsi="Arial" w:cs="Arial"/>
        </w:rPr>
        <w:t xml:space="preserve">. </w:t>
      </w:r>
      <w:r w:rsidRPr="00125CFD">
        <w:rPr>
          <w:rFonts w:ascii="Arial" w:hAnsi="Arial" w:cs="Arial"/>
        </w:rPr>
        <w:t>10-25 Client Plan</w:t>
      </w:r>
    </w:p>
    <w:p w14:paraId="091023FF" w14:textId="77777777" w:rsidR="00102BFE" w:rsidRPr="00125CFD" w:rsidRDefault="00102BFE"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No. 10-03 Progress Notes</w:t>
      </w:r>
    </w:p>
    <w:p w14:paraId="4B41999F" w14:textId="77777777" w:rsidR="00102BFE" w:rsidRPr="00125CFD" w:rsidRDefault="00102BFE"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 xml:space="preserve">No. </w:t>
      </w:r>
      <w:r w:rsidR="007A07A4" w:rsidRPr="00125CFD">
        <w:rPr>
          <w:rFonts w:ascii="Arial" w:hAnsi="Arial" w:cs="Arial"/>
        </w:rPr>
        <w:t>10-26</w:t>
      </w:r>
      <w:r w:rsidR="0005418C">
        <w:rPr>
          <w:rFonts w:ascii="Arial" w:hAnsi="Arial" w:cs="Arial"/>
        </w:rPr>
        <w:t xml:space="preserve"> Core Assessment</w:t>
      </w:r>
    </w:p>
    <w:p w14:paraId="2EAF3424" w14:textId="77777777" w:rsidR="00102BFE" w:rsidRPr="00125CFD" w:rsidRDefault="00102BFE"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 xml:space="preserve">No. </w:t>
      </w:r>
      <w:r w:rsidR="00CA2127" w:rsidRPr="00125CFD">
        <w:rPr>
          <w:rFonts w:ascii="Arial" w:hAnsi="Arial" w:cs="Arial"/>
        </w:rPr>
        <w:t>00-08</w:t>
      </w:r>
      <w:r w:rsidRPr="00125CFD">
        <w:rPr>
          <w:rFonts w:ascii="Arial" w:hAnsi="Arial" w:cs="Arial"/>
        </w:rPr>
        <w:t xml:space="preserve"> Dele</w:t>
      </w:r>
      <w:r w:rsidR="00125CFD">
        <w:rPr>
          <w:rFonts w:ascii="Arial" w:hAnsi="Arial" w:cs="Arial"/>
        </w:rPr>
        <w:t>tion of Open Charges and Claims</w:t>
      </w:r>
    </w:p>
    <w:p w14:paraId="12701895" w14:textId="77777777" w:rsidR="00102BFE" w:rsidRPr="00125CFD" w:rsidRDefault="00102BFE"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No. 44-01 DBHS Issue Reporting</w:t>
      </w:r>
    </w:p>
    <w:p w14:paraId="716BB4E3" w14:textId="77777777" w:rsidR="007A07A4" w:rsidRPr="00125CFD" w:rsidRDefault="007A07A4"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No. 41-01 DBHS Compliance Program</w:t>
      </w:r>
    </w:p>
    <w:p w14:paraId="4C076179" w14:textId="77777777" w:rsidR="00CE5AF5" w:rsidRPr="00125CFD" w:rsidRDefault="007A07A4" w:rsidP="00125CFD">
      <w:pPr>
        <w:pStyle w:val="ListParagraph"/>
        <w:numPr>
          <w:ilvl w:val="0"/>
          <w:numId w:val="29"/>
        </w:numPr>
        <w:spacing w:after="0" w:line="240" w:lineRule="auto"/>
        <w:ind w:left="360"/>
        <w:contextualSpacing w:val="0"/>
        <w:rPr>
          <w:rFonts w:ascii="Arial" w:hAnsi="Arial" w:cs="Arial"/>
        </w:rPr>
      </w:pPr>
      <w:r w:rsidRPr="00125CFD">
        <w:rPr>
          <w:rFonts w:ascii="Arial" w:hAnsi="Arial" w:cs="Arial"/>
        </w:rPr>
        <w:t xml:space="preserve">No. </w:t>
      </w:r>
      <w:r w:rsidR="00D1523A" w:rsidRPr="00125CFD">
        <w:rPr>
          <w:rFonts w:ascii="Arial" w:hAnsi="Arial" w:cs="Arial"/>
        </w:rPr>
        <w:t>41-03 DBHS</w:t>
      </w:r>
      <w:r w:rsidR="00CE5AF5" w:rsidRPr="00125CFD">
        <w:rPr>
          <w:rFonts w:ascii="Arial" w:hAnsi="Arial" w:cs="Arial"/>
        </w:rPr>
        <w:t xml:space="preserve"> </w:t>
      </w:r>
      <w:r w:rsidR="00D1523A" w:rsidRPr="00125CFD">
        <w:rPr>
          <w:rFonts w:ascii="Arial" w:hAnsi="Arial" w:cs="Arial"/>
        </w:rPr>
        <w:t>Code of Conduct</w:t>
      </w:r>
    </w:p>
    <w:p w14:paraId="141C2481" w14:textId="77777777" w:rsidR="00B11B79" w:rsidRPr="00125CFD" w:rsidRDefault="00B11B79" w:rsidP="00163E1F">
      <w:pPr>
        <w:pStyle w:val="ListParagraph"/>
        <w:spacing w:after="0" w:line="240" w:lineRule="auto"/>
        <w:ind w:left="0"/>
        <w:rPr>
          <w:rFonts w:ascii="Arial" w:hAnsi="Arial" w:cs="Arial"/>
        </w:rPr>
      </w:pPr>
    </w:p>
    <w:p w14:paraId="16B1355E" w14:textId="77777777" w:rsidR="001E687A" w:rsidRDefault="00B11B79" w:rsidP="004A022D">
      <w:pPr>
        <w:spacing w:after="0" w:line="240" w:lineRule="auto"/>
        <w:outlineLvl w:val="3"/>
        <w:rPr>
          <w:rFonts w:ascii="Arial" w:hAnsi="Arial" w:cs="Arial"/>
          <w:b/>
        </w:rPr>
      </w:pPr>
      <w:r w:rsidRPr="00125CFD">
        <w:rPr>
          <w:rFonts w:ascii="Arial" w:hAnsi="Arial" w:cs="Arial"/>
          <w:b/>
        </w:rPr>
        <w:t>DISTRIBUTION:</w:t>
      </w:r>
    </w:p>
    <w:p w14:paraId="27591C16" w14:textId="77777777" w:rsidR="00125CFD" w:rsidRPr="00125CFD" w:rsidRDefault="00125CFD" w:rsidP="00DF35F7">
      <w:pPr>
        <w:spacing w:after="0" w:line="240" w:lineRule="auto"/>
        <w:rPr>
          <w:rFonts w:ascii="Arial" w:hAnsi="Arial" w:cs="Arial"/>
        </w:rPr>
      </w:pPr>
    </w:p>
    <w:tbl>
      <w:tblPr>
        <w:tblStyle w:val="TableGrid"/>
        <w:tblW w:w="9243" w:type="dxa"/>
        <w:tblInd w:w="108" w:type="dxa"/>
        <w:tblLayout w:type="fixed"/>
        <w:tblLook w:val="04A0" w:firstRow="1" w:lastRow="0" w:firstColumn="1" w:lastColumn="0" w:noHBand="0" w:noVBand="1"/>
      </w:tblPr>
      <w:tblGrid>
        <w:gridCol w:w="1080"/>
        <w:gridCol w:w="3537"/>
        <w:gridCol w:w="1080"/>
        <w:gridCol w:w="3546"/>
      </w:tblGrid>
      <w:tr w:rsidR="000B685F" w:rsidRPr="00125CFD" w14:paraId="6729F5DB" w14:textId="77777777" w:rsidTr="00D07159">
        <w:tc>
          <w:tcPr>
            <w:tcW w:w="1080" w:type="dxa"/>
          </w:tcPr>
          <w:p w14:paraId="20972FAB" w14:textId="77777777" w:rsidR="00C26FB2" w:rsidRDefault="00C26FB2" w:rsidP="00D07159">
            <w:pPr>
              <w:rPr>
                <w:rFonts w:ascii="Arial" w:hAnsi="Arial" w:cs="Arial"/>
                <w:b/>
              </w:rPr>
            </w:pPr>
            <w:r w:rsidRPr="00125CFD">
              <w:rPr>
                <w:rFonts w:ascii="Arial" w:hAnsi="Arial" w:cs="Arial"/>
                <w:b/>
              </w:rPr>
              <w:t>Enter X</w:t>
            </w:r>
          </w:p>
          <w:p w14:paraId="630C6506" w14:textId="77777777" w:rsidR="00D07159" w:rsidRPr="00125CFD" w:rsidRDefault="00D07159" w:rsidP="00D07159">
            <w:pPr>
              <w:rPr>
                <w:rFonts w:ascii="Arial" w:hAnsi="Arial" w:cs="Arial"/>
                <w:b/>
              </w:rPr>
            </w:pPr>
          </w:p>
        </w:tc>
        <w:tc>
          <w:tcPr>
            <w:tcW w:w="3537" w:type="dxa"/>
          </w:tcPr>
          <w:p w14:paraId="6D8C6FF8" w14:textId="77777777" w:rsidR="00C26FB2" w:rsidRPr="00125CFD" w:rsidRDefault="00C26FB2" w:rsidP="00D07159">
            <w:pPr>
              <w:rPr>
                <w:rFonts w:ascii="Arial" w:hAnsi="Arial" w:cs="Arial"/>
                <w:b/>
              </w:rPr>
            </w:pPr>
            <w:r w:rsidRPr="00125CFD">
              <w:rPr>
                <w:rFonts w:ascii="Arial" w:hAnsi="Arial" w:cs="Arial"/>
                <w:b/>
              </w:rPr>
              <w:t>DL Name</w:t>
            </w:r>
          </w:p>
        </w:tc>
        <w:tc>
          <w:tcPr>
            <w:tcW w:w="1080" w:type="dxa"/>
          </w:tcPr>
          <w:p w14:paraId="3FB0604D" w14:textId="77777777" w:rsidR="00C26FB2" w:rsidRPr="00125CFD" w:rsidRDefault="00C26FB2" w:rsidP="00D07159">
            <w:pPr>
              <w:rPr>
                <w:rFonts w:ascii="Arial" w:hAnsi="Arial" w:cs="Arial"/>
                <w:b/>
              </w:rPr>
            </w:pPr>
            <w:r w:rsidRPr="00125CFD">
              <w:rPr>
                <w:rFonts w:ascii="Arial" w:hAnsi="Arial" w:cs="Arial"/>
                <w:b/>
              </w:rPr>
              <w:t>Enter X</w:t>
            </w:r>
          </w:p>
        </w:tc>
        <w:tc>
          <w:tcPr>
            <w:tcW w:w="3546" w:type="dxa"/>
          </w:tcPr>
          <w:p w14:paraId="6C6B3054" w14:textId="77777777" w:rsidR="00C26FB2" w:rsidRPr="00125CFD" w:rsidRDefault="00C26FB2" w:rsidP="00D07159">
            <w:pPr>
              <w:rPr>
                <w:rFonts w:ascii="Arial" w:hAnsi="Arial" w:cs="Arial"/>
                <w:b/>
              </w:rPr>
            </w:pPr>
            <w:r w:rsidRPr="00125CFD">
              <w:rPr>
                <w:rFonts w:ascii="Arial" w:hAnsi="Arial" w:cs="Arial"/>
                <w:b/>
              </w:rPr>
              <w:t>DL Name</w:t>
            </w:r>
          </w:p>
        </w:tc>
      </w:tr>
      <w:tr w:rsidR="000B685F" w:rsidRPr="00125CFD" w14:paraId="70A42E22" w14:textId="77777777" w:rsidTr="00D07159">
        <w:tc>
          <w:tcPr>
            <w:tcW w:w="1080" w:type="dxa"/>
          </w:tcPr>
          <w:p w14:paraId="4FC9CFC3" w14:textId="77777777" w:rsidR="00635931" w:rsidRPr="0005418C" w:rsidRDefault="00635931" w:rsidP="00D07159">
            <w:pPr>
              <w:jc w:val="center"/>
              <w:rPr>
                <w:rFonts w:ascii="Arial" w:hAnsi="Arial" w:cs="Arial"/>
                <w:b/>
              </w:rPr>
            </w:pPr>
            <w:r w:rsidRPr="0005418C">
              <w:rPr>
                <w:rFonts w:ascii="Arial" w:hAnsi="Arial" w:cs="Arial"/>
                <w:b/>
              </w:rPr>
              <w:t>X</w:t>
            </w:r>
          </w:p>
        </w:tc>
        <w:tc>
          <w:tcPr>
            <w:tcW w:w="3537" w:type="dxa"/>
            <w:tcMar>
              <w:left w:w="0" w:type="dxa"/>
              <w:right w:w="0" w:type="dxa"/>
            </w:tcMar>
          </w:tcPr>
          <w:p w14:paraId="0C3459B0" w14:textId="5D7E2401" w:rsidR="00635931" w:rsidRPr="00125CFD" w:rsidRDefault="00F72F12">
            <w:pPr>
              <w:ind w:left="115"/>
              <w:rPr>
                <w:rFonts w:ascii="Arial" w:hAnsi="Arial" w:cs="Arial"/>
              </w:rPr>
            </w:pPr>
            <w:r>
              <w:rPr>
                <w:rFonts w:ascii="Arial" w:hAnsi="Arial" w:cs="Arial"/>
              </w:rPr>
              <w:t>Behavioral</w:t>
            </w:r>
            <w:r w:rsidR="00635931" w:rsidRPr="00125CFD">
              <w:rPr>
                <w:rFonts w:ascii="Arial" w:hAnsi="Arial" w:cs="Arial"/>
              </w:rPr>
              <w:t xml:space="preserve"> Health Staff</w:t>
            </w:r>
          </w:p>
        </w:tc>
        <w:tc>
          <w:tcPr>
            <w:tcW w:w="1080" w:type="dxa"/>
          </w:tcPr>
          <w:p w14:paraId="4F61735A" w14:textId="77777777" w:rsidR="00635931" w:rsidRPr="00125CFD" w:rsidRDefault="00635931" w:rsidP="00D07159">
            <w:pPr>
              <w:jc w:val="center"/>
              <w:rPr>
                <w:rFonts w:ascii="Arial" w:hAnsi="Arial" w:cs="Arial"/>
              </w:rPr>
            </w:pPr>
          </w:p>
        </w:tc>
        <w:tc>
          <w:tcPr>
            <w:tcW w:w="3546" w:type="dxa"/>
            <w:tcMar>
              <w:left w:w="0" w:type="dxa"/>
              <w:right w:w="0" w:type="dxa"/>
            </w:tcMar>
          </w:tcPr>
          <w:p w14:paraId="6893294C" w14:textId="77777777" w:rsidR="00635931" w:rsidRPr="00125CFD" w:rsidRDefault="00635931" w:rsidP="00D07159">
            <w:pPr>
              <w:ind w:left="115"/>
              <w:rPr>
                <w:rFonts w:ascii="Arial" w:hAnsi="Arial" w:cs="Arial"/>
                <w:b/>
              </w:rPr>
            </w:pPr>
          </w:p>
        </w:tc>
      </w:tr>
      <w:tr w:rsidR="000B685F" w:rsidRPr="00125CFD" w14:paraId="70AFB347" w14:textId="77777777" w:rsidTr="00D07159">
        <w:tc>
          <w:tcPr>
            <w:tcW w:w="1080" w:type="dxa"/>
          </w:tcPr>
          <w:p w14:paraId="658AD346" w14:textId="77777777" w:rsidR="00635931" w:rsidRPr="0005418C" w:rsidRDefault="00635931" w:rsidP="00D07159">
            <w:pPr>
              <w:jc w:val="center"/>
              <w:rPr>
                <w:rFonts w:ascii="Arial" w:hAnsi="Arial" w:cs="Arial"/>
                <w:b/>
              </w:rPr>
            </w:pPr>
          </w:p>
        </w:tc>
        <w:tc>
          <w:tcPr>
            <w:tcW w:w="3537" w:type="dxa"/>
            <w:tcMar>
              <w:left w:w="0" w:type="dxa"/>
              <w:right w:w="0" w:type="dxa"/>
            </w:tcMar>
          </w:tcPr>
          <w:p w14:paraId="19D80743" w14:textId="77777777" w:rsidR="00635931" w:rsidRPr="00125CFD" w:rsidRDefault="00635931" w:rsidP="00D07159">
            <w:pPr>
              <w:ind w:left="115"/>
              <w:rPr>
                <w:rFonts w:ascii="Arial" w:hAnsi="Arial" w:cs="Arial"/>
              </w:rPr>
            </w:pPr>
            <w:r w:rsidRPr="00125CFD">
              <w:rPr>
                <w:rFonts w:ascii="Arial" w:hAnsi="Arial" w:cs="Arial"/>
              </w:rPr>
              <w:t>Mental Health Treatment Center</w:t>
            </w:r>
          </w:p>
        </w:tc>
        <w:tc>
          <w:tcPr>
            <w:tcW w:w="1080" w:type="dxa"/>
          </w:tcPr>
          <w:p w14:paraId="0F9B5F39" w14:textId="77777777" w:rsidR="00635931" w:rsidRPr="00125CFD" w:rsidRDefault="00635931" w:rsidP="00D07159">
            <w:pPr>
              <w:jc w:val="center"/>
              <w:rPr>
                <w:rFonts w:ascii="Arial" w:hAnsi="Arial" w:cs="Arial"/>
              </w:rPr>
            </w:pPr>
          </w:p>
        </w:tc>
        <w:tc>
          <w:tcPr>
            <w:tcW w:w="3546" w:type="dxa"/>
            <w:tcMar>
              <w:left w:w="0" w:type="dxa"/>
              <w:right w:w="0" w:type="dxa"/>
            </w:tcMar>
          </w:tcPr>
          <w:p w14:paraId="56A0C4EE" w14:textId="77777777" w:rsidR="00635931" w:rsidRPr="00125CFD" w:rsidRDefault="00635931" w:rsidP="00D07159">
            <w:pPr>
              <w:ind w:left="115"/>
              <w:rPr>
                <w:rFonts w:ascii="Arial" w:hAnsi="Arial" w:cs="Arial"/>
              </w:rPr>
            </w:pPr>
          </w:p>
        </w:tc>
      </w:tr>
      <w:tr w:rsidR="000B685F" w:rsidRPr="00125CFD" w14:paraId="1D40EDD7" w14:textId="77777777" w:rsidTr="00D07159">
        <w:tc>
          <w:tcPr>
            <w:tcW w:w="1080" w:type="dxa"/>
          </w:tcPr>
          <w:p w14:paraId="1F7D9C50" w14:textId="77777777" w:rsidR="00635931" w:rsidRPr="0005418C" w:rsidRDefault="00CE5AF5" w:rsidP="00D07159">
            <w:pPr>
              <w:jc w:val="center"/>
              <w:rPr>
                <w:rFonts w:ascii="Arial" w:hAnsi="Arial" w:cs="Arial"/>
                <w:b/>
              </w:rPr>
            </w:pPr>
            <w:r w:rsidRPr="0005418C">
              <w:rPr>
                <w:rFonts w:ascii="Arial" w:hAnsi="Arial" w:cs="Arial"/>
                <w:b/>
              </w:rPr>
              <w:t>X</w:t>
            </w:r>
          </w:p>
        </w:tc>
        <w:tc>
          <w:tcPr>
            <w:tcW w:w="3537" w:type="dxa"/>
            <w:tcMar>
              <w:left w:w="0" w:type="dxa"/>
              <w:right w:w="0" w:type="dxa"/>
            </w:tcMar>
          </w:tcPr>
          <w:p w14:paraId="30E263BC" w14:textId="77777777" w:rsidR="00635931" w:rsidRPr="00125CFD" w:rsidRDefault="00635931" w:rsidP="00D07159">
            <w:pPr>
              <w:ind w:left="115"/>
              <w:rPr>
                <w:rFonts w:ascii="Arial" w:hAnsi="Arial" w:cs="Arial"/>
              </w:rPr>
            </w:pPr>
            <w:r w:rsidRPr="00125CFD">
              <w:rPr>
                <w:rFonts w:ascii="Arial" w:hAnsi="Arial" w:cs="Arial"/>
              </w:rPr>
              <w:t>Adult Contract Providers</w:t>
            </w:r>
          </w:p>
        </w:tc>
        <w:tc>
          <w:tcPr>
            <w:tcW w:w="1080" w:type="dxa"/>
          </w:tcPr>
          <w:p w14:paraId="7818DF63" w14:textId="77777777" w:rsidR="00635931" w:rsidRPr="00125CFD" w:rsidRDefault="00635931" w:rsidP="00D07159">
            <w:pPr>
              <w:jc w:val="center"/>
              <w:rPr>
                <w:rFonts w:ascii="Arial" w:hAnsi="Arial" w:cs="Arial"/>
              </w:rPr>
            </w:pPr>
          </w:p>
        </w:tc>
        <w:tc>
          <w:tcPr>
            <w:tcW w:w="3546" w:type="dxa"/>
            <w:tcMar>
              <w:left w:w="0" w:type="dxa"/>
              <w:right w:w="0" w:type="dxa"/>
            </w:tcMar>
          </w:tcPr>
          <w:p w14:paraId="6D3ECCBA" w14:textId="77777777" w:rsidR="00635931" w:rsidRPr="00125CFD" w:rsidRDefault="00635931" w:rsidP="00D07159">
            <w:pPr>
              <w:ind w:left="115"/>
              <w:rPr>
                <w:rFonts w:ascii="Arial" w:hAnsi="Arial" w:cs="Arial"/>
              </w:rPr>
            </w:pPr>
          </w:p>
        </w:tc>
      </w:tr>
      <w:tr w:rsidR="000B685F" w:rsidRPr="00125CFD" w14:paraId="7E52AE14" w14:textId="77777777" w:rsidTr="00D07159">
        <w:tc>
          <w:tcPr>
            <w:tcW w:w="1080" w:type="dxa"/>
          </w:tcPr>
          <w:p w14:paraId="5EF104BB" w14:textId="77777777" w:rsidR="00635931" w:rsidRPr="0005418C" w:rsidRDefault="00CE5AF5" w:rsidP="00D07159">
            <w:pPr>
              <w:jc w:val="center"/>
              <w:rPr>
                <w:rFonts w:ascii="Arial" w:hAnsi="Arial" w:cs="Arial"/>
                <w:b/>
              </w:rPr>
            </w:pPr>
            <w:r w:rsidRPr="0005418C">
              <w:rPr>
                <w:rFonts w:ascii="Arial" w:hAnsi="Arial" w:cs="Arial"/>
                <w:b/>
              </w:rPr>
              <w:t>X</w:t>
            </w:r>
          </w:p>
        </w:tc>
        <w:tc>
          <w:tcPr>
            <w:tcW w:w="3537" w:type="dxa"/>
            <w:tcMar>
              <w:left w:w="0" w:type="dxa"/>
              <w:right w:w="0" w:type="dxa"/>
            </w:tcMar>
          </w:tcPr>
          <w:p w14:paraId="5F4F598A" w14:textId="77777777" w:rsidR="00635931" w:rsidRPr="00125CFD" w:rsidRDefault="00635931" w:rsidP="00D07159">
            <w:pPr>
              <w:ind w:left="115"/>
              <w:rPr>
                <w:rFonts w:ascii="Arial" w:hAnsi="Arial" w:cs="Arial"/>
              </w:rPr>
            </w:pPr>
            <w:r w:rsidRPr="00125CFD">
              <w:rPr>
                <w:rFonts w:ascii="Arial" w:hAnsi="Arial" w:cs="Arial"/>
              </w:rPr>
              <w:t>Children’s Contract Providers</w:t>
            </w:r>
          </w:p>
        </w:tc>
        <w:tc>
          <w:tcPr>
            <w:tcW w:w="1080" w:type="dxa"/>
          </w:tcPr>
          <w:p w14:paraId="022AFAA6" w14:textId="77777777" w:rsidR="00635931" w:rsidRPr="00125CFD" w:rsidRDefault="00635931" w:rsidP="00D07159">
            <w:pPr>
              <w:jc w:val="center"/>
              <w:rPr>
                <w:rFonts w:ascii="Arial" w:hAnsi="Arial" w:cs="Arial"/>
              </w:rPr>
            </w:pPr>
          </w:p>
        </w:tc>
        <w:tc>
          <w:tcPr>
            <w:tcW w:w="3546" w:type="dxa"/>
            <w:tcMar>
              <w:left w:w="0" w:type="dxa"/>
              <w:right w:w="0" w:type="dxa"/>
            </w:tcMar>
          </w:tcPr>
          <w:p w14:paraId="45DE5AEA" w14:textId="77777777" w:rsidR="00635931" w:rsidRPr="00125CFD" w:rsidRDefault="00635931" w:rsidP="00D07159">
            <w:pPr>
              <w:ind w:left="115"/>
              <w:rPr>
                <w:rFonts w:ascii="Arial" w:hAnsi="Arial" w:cs="Arial"/>
              </w:rPr>
            </w:pPr>
          </w:p>
        </w:tc>
      </w:tr>
      <w:tr w:rsidR="000B685F" w:rsidRPr="00125CFD" w14:paraId="319338DE" w14:textId="77777777" w:rsidTr="00D07159">
        <w:tc>
          <w:tcPr>
            <w:tcW w:w="1080" w:type="dxa"/>
          </w:tcPr>
          <w:p w14:paraId="44ED3BC3" w14:textId="77777777" w:rsidR="00635931" w:rsidRPr="0005418C" w:rsidRDefault="00635931" w:rsidP="00D07159">
            <w:pPr>
              <w:jc w:val="center"/>
              <w:rPr>
                <w:rFonts w:ascii="Arial" w:hAnsi="Arial" w:cs="Arial"/>
                <w:b/>
              </w:rPr>
            </w:pPr>
          </w:p>
        </w:tc>
        <w:tc>
          <w:tcPr>
            <w:tcW w:w="3537" w:type="dxa"/>
            <w:tcMar>
              <w:left w:w="0" w:type="dxa"/>
              <w:right w:w="0" w:type="dxa"/>
            </w:tcMar>
          </w:tcPr>
          <w:p w14:paraId="5C1A837A" w14:textId="76D57E75" w:rsidR="00635931" w:rsidRPr="00125CFD" w:rsidRDefault="00F72F12" w:rsidP="00D07159">
            <w:pPr>
              <w:ind w:left="115"/>
              <w:rPr>
                <w:rFonts w:ascii="Arial" w:hAnsi="Arial" w:cs="Arial"/>
              </w:rPr>
            </w:pPr>
            <w:r>
              <w:rPr>
                <w:rFonts w:ascii="Arial" w:hAnsi="Arial" w:cs="Arial"/>
              </w:rPr>
              <w:t>Substance Use and Prevention Treatment</w:t>
            </w:r>
          </w:p>
        </w:tc>
        <w:tc>
          <w:tcPr>
            <w:tcW w:w="1080" w:type="dxa"/>
          </w:tcPr>
          <w:p w14:paraId="0032BEC8" w14:textId="77777777" w:rsidR="00635931" w:rsidRPr="00125CFD" w:rsidRDefault="00635931" w:rsidP="00D07159">
            <w:pPr>
              <w:jc w:val="center"/>
              <w:rPr>
                <w:rFonts w:ascii="Arial" w:hAnsi="Arial" w:cs="Arial"/>
              </w:rPr>
            </w:pPr>
          </w:p>
        </w:tc>
        <w:tc>
          <w:tcPr>
            <w:tcW w:w="3546" w:type="dxa"/>
            <w:tcMar>
              <w:left w:w="0" w:type="dxa"/>
              <w:right w:w="0" w:type="dxa"/>
            </w:tcMar>
          </w:tcPr>
          <w:p w14:paraId="35CDC1DE" w14:textId="77777777" w:rsidR="00635931" w:rsidRPr="00125CFD" w:rsidRDefault="00635931" w:rsidP="00D07159">
            <w:pPr>
              <w:ind w:left="115"/>
              <w:rPr>
                <w:rFonts w:ascii="Arial" w:hAnsi="Arial" w:cs="Arial"/>
              </w:rPr>
            </w:pPr>
          </w:p>
        </w:tc>
      </w:tr>
      <w:tr w:rsidR="000B685F" w:rsidRPr="00125CFD" w14:paraId="7D8308C7" w14:textId="77777777" w:rsidTr="00D07159">
        <w:tc>
          <w:tcPr>
            <w:tcW w:w="1080" w:type="dxa"/>
          </w:tcPr>
          <w:p w14:paraId="77F96EFE" w14:textId="77777777" w:rsidR="00635931" w:rsidRPr="0005418C" w:rsidRDefault="00635931" w:rsidP="00D07159">
            <w:pPr>
              <w:jc w:val="both"/>
              <w:rPr>
                <w:rFonts w:ascii="Arial" w:hAnsi="Arial" w:cs="Arial"/>
                <w:b/>
              </w:rPr>
            </w:pPr>
          </w:p>
        </w:tc>
        <w:tc>
          <w:tcPr>
            <w:tcW w:w="3537" w:type="dxa"/>
            <w:tcMar>
              <w:left w:w="0" w:type="dxa"/>
              <w:right w:w="0" w:type="dxa"/>
            </w:tcMar>
          </w:tcPr>
          <w:p w14:paraId="3723F804" w14:textId="77777777" w:rsidR="00635931" w:rsidRPr="00125CFD" w:rsidRDefault="00635931" w:rsidP="00D07159">
            <w:pPr>
              <w:ind w:left="115"/>
              <w:rPr>
                <w:rFonts w:ascii="Arial" w:hAnsi="Arial" w:cs="Arial"/>
              </w:rPr>
            </w:pPr>
          </w:p>
        </w:tc>
        <w:tc>
          <w:tcPr>
            <w:tcW w:w="1080" w:type="dxa"/>
          </w:tcPr>
          <w:p w14:paraId="79EE8119" w14:textId="77777777" w:rsidR="00635931" w:rsidRPr="00125CFD" w:rsidRDefault="00635931" w:rsidP="00D07159">
            <w:pPr>
              <w:jc w:val="center"/>
              <w:rPr>
                <w:rFonts w:ascii="Arial" w:hAnsi="Arial" w:cs="Arial"/>
              </w:rPr>
            </w:pPr>
          </w:p>
        </w:tc>
        <w:tc>
          <w:tcPr>
            <w:tcW w:w="3546" w:type="dxa"/>
            <w:tcMar>
              <w:left w:w="0" w:type="dxa"/>
              <w:right w:w="0" w:type="dxa"/>
            </w:tcMar>
          </w:tcPr>
          <w:p w14:paraId="4DDB9F81" w14:textId="77777777" w:rsidR="00635931" w:rsidRPr="00125CFD" w:rsidRDefault="00635931" w:rsidP="00D07159">
            <w:pPr>
              <w:ind w:left="115"/>
              <w:rPr>
                <w:rFonts w:ascii="Arial" w:hAnsi="Arial" w:cs="Arial"/>
              </w:rPr>
            </w:pPr>
          </w:p>
        </w:tc>
      </w:tr>
    </w:tbl>
    <w:p w14:paraId="26F4B03B" w14:textId="77777777" w:rsidR="005B6A11" w:rsidRPr="00125CFD" w:rsidRDefault="005B6A11" w:rsidP="00163E1F">
      <w:pPr>
        <w:spacing w:after="0" w:line="240" w:lineRule="auto"/>
        <w:rPr>
          <w:rFonts w:ascii="Arial" w:hAnsi="Arial" w:cs="Arial"/>
        </w:rPr>
      </w:pPr>
    </w:p>
    <w:p w14:paraId="14199DAE" w14:textId="77777777" w:rsidR="00102BFE" w:rsidRPr="00125CFD" w:rsidRDefault="00102BFE" w:rsidP="00163E1F">
      <w:pPr>
        <w:spacing w:after="0" w:line="240" w:lineRule="auto"/>
        <w:rPr>
          <w:rFonts w:ascii="Arial" w:hAnsi="Arial" w:cs="Arial"/>
        </w:rPr>
      </w:pPr>
    </w:p>
    <w:p w14:paraId="35C2D24F" w14:textId="77777777" w:rsidR="004933B9" w:rsidRDefault="00B11B79" w:rsidP="004A022D">
      <w:pPr>
        <w:spacing w:after="0" w:line="240" w:lineRule="auto"/>
        <w:outlineLvl w:val="4"/>
        <w:rPr>
          <w:rFonts w:ascii="Arial" w:hAnsi="Arial" w:cs="Arial"/>
          <w:b/>
        </w:rPr>
      </w:pPr>
      <w:r w:rsidRPr="00125CFD">
        <w:rPr>
          <w:rFonts w:ascii="Arial" w:hAnsi="Arial" w:cs="Arial"/>
          <w:b/>
        </w:rPr>
        <w:t>CONTACT INFORMATION:</w:t>
      </w:r>
    </w:p>
    <w:p w14:paraId="0E0B0016" w14:textId="77777777" w:rsidR="00125CFD" w:rsidRPr="00125CFD" w:rsidRDefault="00125CFD" w:rsidP="00125CFD">
      <w:pPr>
        <w:spacing w:after="0" w:line="240" w:lineRule="auto"/>
        <w:rPr>
          <w:rFonts w:ascii="Arial" w:hAnsi="Arial" w:cs="Arial"/>
        </w:rPr>
      </w:pPr>
    </w:p>
    <w:p w14:paraId="570F083C" w14:textId="77777777" w:rsidR="00006A5A" w:rsidRPr="00006A5A" w:rsidRDefault="00964823" w:rsidP="00710C5E">
      <w:pPr>
        <w:pStyle w:val="ListParagraph"/>
        <w:numPr>
          <w:ilvl w:val="0"/>
          <w:numId w:val="24"/>
        </w:numPr>
        <w:spacing w:after="0" w:line="240" w:lineRule="auto"/>
        <w:ind w:left="360"/>
        <w:rPr>
          <w:rFonts w:ascii="Arial" w:hAnsi="Arial" w:cs="Arial"/>
          <w:b/>
        </w:rPr>
      </w:pPr>
      <w:r w:rsidRPr="00125CFD">
        <w:rPr>
          <w:rFonts w:ascii="Arial" w:hAnsi="Arial" w:cs="Arial"/>
        </w:rPr>
        <w:t xml:space="preserve">Quality Management </w:t>
      </w:r>
    </w:p>
    <w:p w14:paraId="76BBC122" w14:textId="3E2245E3" w:rsidR="00DC700B" w:rsidRPr="00125CFD" w:rsidRDefault="00763921" w:rsidP="00006A5A">
      <w:pPr>
        <w:pStyle w:val="ListParagraph"/>
        <w:spacing w:after="0" w:line="240" w:lineRule="auto"/>
        <w:ind w:left="360"/>
        <w:rPr>
          <w:rFonts w:ascii="Arial" w:hAnsi="Arial" w:cs="Arial"/>
          <w:b/>
        </w:rPr>
      </w:pPr>
      <w:hyperlink r:id="rId13" w:tooltip="send email to quality management" w:history="1">
        <w:r w:rsidRPr="00125CFD">
          <w:rPr>
            <w:rStyle w:val="Hyperlink"/>
            <w:rFonts w:ascii="Arial" w:hAnsi="Arial" w:cs="Arial"/>
          </w:rPr>
          <w:t>QMInformation@SacCounty.net</w:t>
        </w:r>
      </w:hyperlink>
    </w:p>
    <w:sectPr w:rsidR="00DC700B" w:rsidRPr="00125CFD" w:rsidSect="00D07159">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0EE0" w14:textId="77777777" w:rsidR="001B7BB6" w:rsidRDefault="001B7BB6" w:rsidP="00C26FB2">
      <w:pPr>
        <w:spacing w:after="0" w:line="240" w:lineRule="auto"/>
      </w:pPr>
      <w:r>
        <w:separator/>
      </w:r>
    </w:p>
  </w:endnote>
  <w:endnote w:type="continuationSeparator" w:id="0">
    <w:p w14:paraId="7EA44C0F" w14:textId="77777777" w:rsidR="001B7BB6" w:rsidRDefault="001B7BB6"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4739" w14:textId="57D45C8B"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D53AA0">
      <w:rPr>
        <w:rFonts w:ascii="Arial" w:eastAsia="Times New Roman" w:hAnsi="Arial" w:cs="Arial"/>
        <w:noProof/>
        <w:sz w:val="12"/>
        <w:szCs w:val="12"/>
        <w:lang w:eastAsia="en-US"/>
      </w:rPr>
      <w:t>3</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D53AA0">
      <w:rPr>
        <w:rFonts w:ascii="Arial" w:eastAsia="Times New Roman" w:hAnsi="Arial" w:cs="Arial"/>
        <w:noProof/>
        <w:sz w:val="12"/>
        <w:szCs w:val="12"/>
        <w:lang w:eastAsia="en-US"/>
      </w:rPr>
      <w:t>3</w:t>
    </w:r>
    <w:r w:rsidRPr="00E5652A">
      <w:rPr>
        <w:rFonts w:ascii="Arial" w:eastAsia="Times New Roman" w:hAnsi="Arial" w:cs="Arial"/>
        <w:sz w:val="12"/>
        <w:szCs w:val="12"/>
        <w:lang w:eastAsia="en-US"/>
      </w:rPr>
      <w:fldChar w:fldCharType="end"/>
    </w:r>
  </w:p>
  <w:p w14:paraId="7525298D" w14:textId="77777777" w:rsidR="00D07159" w:rsidRPr="00E5652A" w:rsidRDefault="00D07159" w:rsidP="00E5652A">
    <w:pPr>
      <w:spacing w:after="0" w:line="240" w:lineRule="auto"/>
      <w:ind w:right="-36"/>
      <w:jc w:val="center"/>
      <w:rPr>
        <w:rFonts w:ascii="Arial" w:eastAsia="Times New Roman" w:hAnsi="Arial" w:cs="Arial"/>
        <w:sz w:val="12"/>
        <w:szCs w:val="12"/>
        <w:lang w:eastAsia="en-US"/>
      </w:rPr>
    </w:pPr>
  </w:p>
  <w:p w14:paraId="2DB7E9E1" w14:textId="6029B726" w:rsidR="00E5652A" w:rsidRPr="0072267E" w:rsidRDefault="00102BFE" w:rsidP="00DE68C9">
    <w:pPr>
      <w:spacing w:after="0" w:line="240" w:lineRule="auto"/>
      <w:ind w:right="-36"/>
      <w:rPr>
        <w:sz w:val="12"/>
        <w:szCs w:val="12"/>
      </w:rPr>
    </w:pPr>
    <w:r>
      <w:rPr>
        <w:rFonts w:ascii="Arial" w:hAnsi="Arial" w:cs="Arial"/>
        <w:sz w:val="12"/>
        <w:szCs w:val="12"/>
      </w:rPr>
      <w:t>PP-BHS-QM-20-01</w:t>
    </w:r>
    <w:r w:rsidR="00DE68C9" w:rsidRPr="00DE68C9">
      <w:rPr>
        <w:rFonts w:ascii="Arial" w:hAnsi="Arial" w:cs="Arial"/>
        <w:sz w:val="12"/>
        <w:szCs w:val="12"/>
      </w:rPr>
      <w:t>-</w:t>
    </w:r>
    <w:r w:rsidR="00F1098D">
      <w:rPr>
        <w:rFonts w:ascii="Arial" w:hAnsi="Arial" w:cs="Arial"/>
        <w:sz w:val="12"/>
        <w:szCs w:val="12"/>
      </w:rPr>
      <w:t>DBHS</w:t>
    </w:r>
    <w:r>
      <w:rPr>
        <w:rFonts w:ascii="Arial" w:hAnsi="Arial" w:cs="Arial"/>
        <w:sz w:val="12"/>
        <w:szCs w:val="12"/>
      </w:rPr>
      <w:t xml:space="preserve"> Claims </w:t>
    </w:r>
    <w:r w:rsidR="001E4953">
      <w:rPr>
        <w:rFonts w:ascii="Arial" w:hAnsi="Arial" w:cs="Arial"/>
        <w:sz w:val="12"/>
        <w:szCs w:val="12"/>
      </w:rPr>
      <w:t>Certification</w:t>
    </w:r>
    <w:r w:rsidR="00EC276F">
      <w:rPr>
        <w:rFonts w:ascii="Arial" w:hAnsi="Arial" w:cs="Arial"/>
        <w:sz w:val="12"/>
        <w:szCs w:val="12"/>
      </w:rPr>
      <w:t xml:space="preserve"> and Program Integrity </w:t>
    </w:r>
    <w:r w:rsidR="00F72F12">
      <w:rPr>
        <w:rFonts w:ascii="Arial" w:hAnsi="Arial" w:cs="Arial"/>
        <w:sz w:val="12"/>
        <w:szCs w:val="12"/>
      </w:rPr>
      <w:t>12-24-20</w:t>
    </w:r>
  </w:p>
  <w:p w14:paraId="039426B2" w14:textId="77777777" w:rsidR="004E0ED6" w:rsidRDefault="004E0E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5A69" w14:textId="77777777" w:rsidR="001B7BB6" w:rsidRDefault="001B7BB6" w:rsidP="00C26FB2">
      <w:pPr>
        <w:spacing w:after="0" w:line="240" w:lineRule="auto"/>
      </w:pPr>
      <w:r>
        <w:separator/>
      </w:r>
    </w:p>
  </w:footnote>
  <w:footnote w:type="continuationSeparator" w:id="0">
    <w:p w14:paraId="4D5958FA" w14:textId="77777777" w:rsidR="001B7BB6" w:rsidRDefault="001B7BB6"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9B6"/>
    <w:multiLevelType w:val="hybridMultilevel"/>
    <w:tmpl w:val="84E24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02F4"/>
    <w:multiLevelType w:val="hybridMultilevel"/>
    <w:tmpl w:val="D372552E"/>
    <w:lvl w:ilvl="0" w:tplc="1CA8D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166D"/>
    <w:multiLevelType w:val="hybridMultilevel"/>
    <w:tmpl w:val="033C57BE"/>
    <w:lvl w:ilvl="0" w:tplc="B99048CA">
      <w:start w:val="1"/>
      <w:numFmt w:val="decimal"/>
      <w:lvlText w:val="%1."/>
      <w:lvlJc w:val="right"/>
      <w:pPr>
        <w:ind w:left="1526" w:hanging="360"/>
      </w:pPr>
      <w:rPr>
        <w:rFonts w:hint="default"/>
        <w:b w:val="0"/>
        <w:i w:val="0"/>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0F3C1669"/>
    <w:multiLevelType w:val="hybridMultilevel"/>
    <w:tmpl w:val="D43A3E0C"/>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22D0B"/>
    <w:multiLevelType w:val="singleLevel"/>
    <w:tmpl w:val="4EDA5A5A"/>
    <w:lvl w:ilvl="0">
      <w:start w:val="1"/>
      <w:numFmt w:val="decimal"/>
      <w:lvlText w:val="%1."/>
      <w:lvlJc w:val="left"/>
      <w:pPr>
        <w:tabs>
          <w:tab w:val="num" w:pos="648"/>
        </w:tabs>
        <w:ind w:left="648" w:hanging="360"/>
      </w:pPr>
      <w:rPr>
        <w:rFonts w:hint="default"/>
        <w:b w:val="0"/>
      </w:rPr>
    </w:lvl>
  </w:abstractNum>
  <w:abstractNum w:abstractNumId="6" w15:restartNumberingAfterBreak="0">
    <w:nsid w:val="108731FD"/>
    <w:multiLevelType w:val="hybridMultilevel"/>
    <w:tmpl w:val="2D14E622"/>
    <w:lvl w:ilvl="0" w:tplc="408E0BE6">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0F">
      <w:start w:val="1"/>
      <w:numFmt w:val="decimal"/>
      <w:lvlText w:val="%3."/>
      <w:lvlJc w:val="lef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7" w15:restartNumberingAfterBreak="0">
    <w:nsid w:val="18B74E4D"/>
    <w:multiLevelType w:val="hybridMultilevel"/>
    <w:tmpl w:val="39E0D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13171"/>
    <w:multiLevelType w:val="hybridMultilevel"/>
    <w:tmpl w:val="59F21434"/>
    <w:lvl w:ilvl="0" w:tplc="0409000F">
      <w:start w:val="1"/>
      <w:numFmt w:val="decimal"/>
      <w:lvlText w:val="%1."/>
      <w:lvlJc w:val="left"/>
      <w:pPr>
        <w:tabs>
          <w:tab w:val="num" w:pos="1800"/>
        </w:tabs>
        <w:ind w:left="1800" w:hanging="360"/>
      </w:pPr>
    </w:lvl>
    <w:lvl w:ilvl="1" w:tplc="84ECB88E">
      <w:start w:val="8"/>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62EAF"/>
    <w:multiLevelType w:val="hybridMultilevel"/>
    <w:tmpl w:val="516A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65B8E"/>
    <w:multiLevelType w:val="hybridMultilevel"/>
    <w:tmpl w:val="671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35E27"/>
    <w:multiLevelType w:val="hybridMultilevel"/>
    <w:tmpl w:val="F13AFE6E"/>
    <w:lvl w:ilvl="0" w:tplc="3A3684FC">
      <w:start w:val="1"/>
      <w:numFmt w:val="upperLetter"/>
      <w:lvlText w:val="%1."/>
      <w:lvlJc w:val="left"/>
      <w:pPr>
        <w:tabs>
          <w:tab w:val="num" w:pos="1080"/>
        </w:tabs>
        <w:ind w:left="1080" w:hanging="360"/>
      </w:pPr>
      <w:rPr>
        <w:rFonts w:hint="default"/>
      </w:rPr>
    </w:lvl>
    <w:lvl w:ilvl="1" w:tplc="7CC895E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7446E3B"/>
    <w:multiLevelType w:val="hybridMultilevel"/>
    <w:tmpl w:val="C4A8E436"/>
    <w:lvl w:ilvl="0" w:tplc="610697EE">
      <w:start w:val="1"/>
      <w:numFmt w:val="upperLetter"/>
      <w:lvlText w:val="%1."/>
      <w:lvlJc w:val="center"/>
      <w:pPr>
        <w:ind w:left="1152" w:hanging="360"/>
      </w:pPr>
      <w:rPr>
        <w:rFonts w:hint="default"/>
      </w:r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39040FE5"/>
    <w:multiLevelType w:val="hybridMultilevel"/>
    <w:tmpl w:val="FACCF462"/>
    <w:lvl w:ilvl="0" w:tplc="E9F02342">
      <w:start w:val="1"/>
      <w:numFmt w:val="upperLetter"/>
      <w:lvlText w:val="%1."/>
      <w:lvlJc w:val="left"/>
      <w:pPr>
        <w:tabs>
          <w:tab w:val="num" w:pos="1080"/>
        </w:tabs>
        <w:ind w:left="1080" w:hanging="360"/>
      </w:pPr>
      <w:rPr>
        <w:rFonts w:hint="default"/>
      </w:rPr>
    </w:lvl>
    <w:lvl w:ilvl="1" w:tplc="083C2B82">
      <w:start w:val="1"/>
      <w:numFmt w:val="decimal"/>
      <w:lvlText w:val="%2."/>
      <w:lvlJc w:val="left"/>
      <w:pPr>
        <w:tabs>
          <w:tab w:val="num" w:pos="1800"/>
        </w:tabs>
        <w:ind w:left="1800" w:hanging="360"/>
      </w:pPr>
      <w:rPr>
        <w:rFonts w:hint="default"/>
        <w:i w:val="0"/>
      </w:rPr>
    </w:lvl>
    <w:lvl w:ilvl="2" w:tplc="0409000F">
      <w:start w:val="1"/>
      <w:numFmt w:val="decimal"/>
      <w:lvlText w:val="%3."/>
      <w:lvlJc w:val="left"/>
      <w:pPr>
        <w:tabs>
          <w:tab w:val="num" w:pos="2700"/>
        </w:tabs>
        <w:ind w:left="2700" w:hanging="360"/>
      </w:pPr>
    </w:lvl>
    <w:lvl w:ilvl="3" w:tplc="E326A95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F4833D8"/>
    <w:multiLevelType w:val="hybridMultilevel"/>
    <w:tmpl w:val="4486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10998"/>
    <w:multiLevelType w:val="hybridMultilevel"/>
    <w:tmpl w:val="391EAF3E"/>
    <w:lvl w:ilvl="0" w:tplc="95789A58">
      <w:start w:val="1"/>
      <w:numFmt w:val="decimal"/>
      <w:lvlText w:val="%1."/>
      <w:lvlJc w:val="left"/>
      <w:pPr>
        <w:tabs>
          <w:tab w:val="num" w:pos="1800"/>
        </w:tabs>
        <w:ind w:left="1800" w:hanging="360"/>
      </w:pPr>
      <w:rPr>
        <w:rFonts w:hint="default"/>
      </w:rPr>
    </w:lvl>
    <w:lvl w:ilvl="1" w:tplc="7A32578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5B541E8"/>
    <w:multiLevelType w:val="hybridMultilevel"/>
    <w:tmpl w:val="6778BF20"/>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65D6C65"/>
    <w:multiLevelType w:val="hybridMultilevel"/>
    <w:tmpl w:val="4890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749CF"/>
    <w:multiLevelType w:val="hybridMultilevel"/>
    <w:tmpl w:val="BA6AF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D92173"/>
    <w:multiLevelType w:val="hybridMultilevel"/>
    <w:tmpl w:val="C8B08E10"/>
    <w:lvl w:ilvl="0" w:tplc="E0280466">
      <w:start w:val="1"/>
      <w:numFmt w:val="decimal"/>
      <w:lvlText w:val="%1."/>
      <w:lvlJc w:val="left"/>
      <w:pPr>
        <w:tabs>
          <w:tab w:val="num" w:pos="1800"/>
        </w:tabs>
        <w:ind w:left="1800" w:hanging="360"/>
      </w:pPr>
      <w:rPr>
        <w:rFonts w:hint="default"/>
      </w:rPr>
    </w:lvl>
    <w:lvl w:ilvl="1" w:tplc="624EB7A4">
      <w:start w:val="3"/>
      <w:numFmt w:val="upperRoman"/>
      <w:lvlText w:val="%2."/>
      <w:lvlJc w:val="left"/>
      <w:pPr>
        <w:tabs>
          <w:tab w:val="num" w:pos="2880"/>
        </w:tabs>
        <w:ind w:left="2880" w:hanging="720"/>
      </w:pPr>
      <w:rPr>
        <w:rFonts w:hint="default"/>
      </w:rPr>
    </w:lvl>
    <w:lvl w:ilvl="2" w:tplc="AA563246">
      <w:start w:val="1"/>
      <w:numFmt w:val="upperLetter"/>
      <w:lvlText w:val="%3."/>
      <w:lvlJc w:val="left"/>
      <w:pPr>
        <w:tabs>
          <w:tab w:val="num" w:pos="3420"/>
        </w:tabs>
        <w:ind w:left="3420" w:hanging="360"/>
      </w:pPr>
      <w:rPr>
        <w:rFonts w:hint="default"/>
      </w:rPr>
    </w:lvl>
    <w:lvl w:ilvl="3" w:tplc="408E0BE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2EB20CB"/>
    <w:multiLevelType w:val="hybridMultilevel"/>
    <w:tmpl w:val="742E829A"/>
    <w:lvl w:ilvl="0" w:tplc="B99048CA">
      <w:start w:val="1"/>
      <w:numFmt w:val="decimal"/>
      <w:lvlText w:val="%1."/>
      <w:lvlJc w:val="right"/>
      <w:pPr>
        <w:ind w:left="1526" w:hanging="360"/>
      </w:pPr>
      <w:rPr>
        <w:rFonts w:hint="default"/>
        <w:b w:val="0"/>
        <w:i w:val="0"/>
      </w:rPr>
    </w:lvl>
    <w:lvl w:ilvl="1" w:tplc="0409000F">
      <w:start w:val="1"/>
      <w:numFmt w:val="decimal"/>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3" w15:restartNumberingAfterBreak="0">
    <w:nsid w:val="64E14A35"/>
    <w:multiLevelType w:val="hybridMultilevel"/>
    <w:tmpl w:val="F27E559A"/>
    <w:lvl w:ilvl="0" w:tplc="D392359C">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721DE"/>
    <w:multiLevelType w:val="hybridMultilevel"/>
    <w:tmpl w:val="EDF20C92"/>
    <w:lvl w:ilvl="0" w:tplc="B7B07F1A">
      <w:start w:val="1"/>
      <w:numFmt w:val="decimal"/>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155FD"/>
    <w:multiLevelType w:val="hybridMultilevel"/>
    <w:tmpl w:val="34B0A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F02899"/>
    <w:multiLevelType w:val="hybridMultilevel"/>
    <w:tmpl w:val="1E669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300381">
    <w:abstractNumId w:val="1"/>
  </w:num>
  <w:num w:numId="2" w16cid:durableId="1299526664">
    <w:abstractNumId w:val="9"/>
  </w:num>
  <w:num w:numId="3" w16cid:durableId="905065829">
    <w:abstractNumId w:val="26"/>
  </w:num>
  <w:num w:numId="4" w16cid:durableId="1037194710">
    <w:abstractNumId w:val="25"/>
  </w:num>
  <w:num w:numId="5" w16cid:durableId="1942175963">
    <w:abstractNumId w:val="12"/>
  </w:num>
  <w:num w:numId="6" w16cid:durableId="919868856">
    <w:abstractNumId w:val="5"/>
  </w:num>
  <w:num w:numId="7" w16cid:durableId="1184855168">
    <w:abstractNumId w:val="27"/>
  </w:num>
  <w:num w:numId="8" w16cid:durableId="1582718975">
    <w:abstractNumId w:val="20"/>
  </w:num>
  <w:num w:numId="9" w16cid:durableId="802112465">
    <w:abstractNumId w:val="24"/>
  </w:num>
  <w:num w:numId="10" w16cid:durableId="2079478167">
    <w:abstractNumId w:val="11"/>
  </w:num>
  <w:num w:numId="11" w16cid:durableId="1672416331">
    <w:abstractNumId w:val="2"/>
  </w:num>
  <w:num w:numId="12" w16cid:durableId="835652437">
    <w:abstractNumId w:val="15"/>
  </w:num>
  <w:num w:numId="13" w16cid:durableId="1159997417">
    <w:abstractNumId w:val="17"/>
  </w:num>
  <w:num w:numId="14" w16cid:durableId="906889389">
    <w:abstractNumId w:val="21"/>
  </w:num>
  <w:num w:numId="15" w16cid:durableId="519391715">
    <w:abstractNumId w:val="13"/>
  </w:num>
  <w:num w:numId="16" w16cid:durableId="2039117201">
    <w:abstractNumId w:val="7"/>
  </w:num>
  <w:num w:numId="17" w16cid:durableId="898126140">
    <w:abstractNumId w:val="8"/>
  </w:num>
  <w:num w:numId="18" w16cid:durableId="655108163">
    <w:abstractNumId w:val="14"/>
  </w:num>
  <w:num w:numId="19" w16cid:durableId="42146994">
    <w:abstractNumId w:val="6"/>
  </w:num>
  <w:num w:numId="20" w16cid:durableId="1775436337">
    <w:abstractNumId w:val="22"/>
  </w:num>
  <w:num w:numId="21" w16cid:durableId="702246395">
    <w:abstractNumId w:val="3"/>
  </w:num>
  <w:num w:numId="22" w16cid:durableId="468668528">
    <w:abstractNumId w:val="18"/>
  </w:num>
  <w:num w:numId="23" w16cid:durableId="596787643">
    <w:abstractNumId w:val="4"/>
  </w:num>
  <w:num w:numId="24" w16cid:durableId="247815049">
    <w:abstractNumId w:val="23"/>
  </w:num>
  <w:num w:numId="25" w16cid:durableId="1689941948">
    <w:abstractNumId w:val="0"/>
  </w:num>
  <w:num w:numId="26" w16cid:durableId="7293173">
    <w:abstractNumId w:val="28"/>
  </w:num>
  <w:num w:numId="27" w16cid:durableId="63067256">
    <w:abstractNumId w:val="19"/>
  </w:num>
  <w:num w:numId="28" w16cid:durableId="235432877">
    <w:abstractNumId w:val="10"/>
  </w:num>
  <w:num w:numId="29" w16cid:durableId="74522571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6A5A"/>
    <w:rsid w:val="000260E0"/>
    <w:rsid w:val="0005418C"/>
    <w:rsid w:val="000551F9"/>
    <w:rsid w:val="00056FC4"/>
    <w:rsid w:val="00067A00"/>
    <w:rsid w:val="00070EB4"/>
    <w:rsid w:val="00083E04"/>
    <w:rsid w:val="00094D71"/>
    <w:rsid w:val="000B685F"/>
    <w:rsid w:val="000B6EB5"/>
    <w:rsid w:val="000C1EFC"/>
    <w:rsid w:val="000E3EDB"/>
    <w:rsid w:val="000E7099"/>
    <w:rsid w:val="00100943"/>
    <w:rsid w:val="00102BFE"/>
    <w:rsid w:val="00125CFD"/>
    <w:rsid w:val="00141C42"/>
    <w:rsid w:val="0014739B"/>
    <w:rsid w:val="001637DB"/>
    <w:rsid w:val="00163E1F"/>
    <w:rsid w:val="00171D70"/>
    <w:rsid w:val="00177E08"/>
    <w:rsid w:val="001B7BB6"/>
    <w:rsid w:val="001C5AC9"/>
    <w:rsid w:val="001E4953"/>
    <w:rsid w:val="001E687A"/>
    <w:rsid w:val="001E71FA"/>
    <w:rsid w:val="0020385A"/>
    <w:rsid w:val="00221DB6"/>
    <w:rsid w:val="00227C5A"/>
    <w:rsid w:val="002560C0"/>
    <w:rsid w:val="002D2BC3"/>
    <w:rsid w:val="002E22D7"/>
    <w:rsid w:val="003136B8"/>
    <w:rsid w:val="00317018"/>
    <w:rsid w:val="00332BDB"/>
    <w:rsid w:val="003526B9"/>
    <w:rsid w:val="0037579A"/>
    <w:rsid w:val="00384437"/>
    <w:rsid w:val="0039293F"/>
    <w:rsid w:val="003A17DD"/>
    <w:rsid w:val="003D0ED3"/>
    <w:rsid w:val="003E51FE"/>
    <w:rsid w:val="004031F7"/>
    <w:rsid w:val="004110CE"/>
    <w:rsid w:val="00420137"/>
    <w:rsid w:val="00423915"/>
    <w:rsid w:val="0042446C"/>
    <w:rsid w:val="004322FE"/>
    <w:rsid w:val="004439BC"/>
    <w:rsid w:val="00453EB9"/>
    <w:rsid w:val="00454B02"/>
    <w:rsid w:val="00455C78"/>
    <w:rsid w:val="00477A1A"/>
    <w:rsid w:val="004823FD"/>
    <w:rsid w:val="004933B9"/>
    <w:rsid w:val="004A022D"/>
    <w:rsid w:val="004D64D8"/>
    <w:rsid w:val="004E0ED6"/>
    <w:rsid w:val="004E589E"/>
    <w:rsid w:val="004E6201"/>
    <w:rsid w:val="004F4FE0"/>
    <w:rsid w:val="0051401D"/>
    <w:rsid w:val="00535070"/>
    <w:rsid w:val="00537432"/>
    <w:rsid w:val="00541EEF"/>
    <w:rsid w:val="00544475"/>
    <w:rsid w:val="00553626"/>
    <w:rsid w:val="00565247"/>
    <w:rsid w:val="00572EA0"/>
    <w:rsid w:val="0059003F"/>
    <w:rsid w:val="005A0AE0"/>
    <w:rsid w:val="005A297F"/>
    <w:rsid w:val="005B1CA9"/>
    <w:rsid w:val="005B6A11"/>
    <w:rsid w:val="005C4564"/>
    <w:rsid w:val="005D5A92"/>
    <w:rsid w:val="005F0A9A"/>
    <w:rsid w:val="00602B65"/>
    <w:rsid w:val="006144CD"/>
    <w:rsid w:val="0062573B"/>
    <w:rsid w:val="006277E4"/>
    <w:rsid w:val="00635931"/>
    <w:rsid w:val="0063600C"/>
    <w:rsid w:val="00661456"/>
    <w:rsid w:val="00663184"/>
    <w:rsid w:val="00664095"/>
    <w:rsid w:val="00670796"/>
    <w:rsid w:val="00674067"/>
    <w:rsid w:val="006943E3"/>
    <w:rsid w:val="006B7A09"/>
    <w:rsid w:val="006E04B3"/>
    <w:rsid w:val="007043AB"/>
    <w:rsid w:val="00710C5E"/>
    <w:rsid w:val="00720B1C"/>
    <w:rsid w:val="0072267E"/>
    <w:rsid w:val="00731BD7"/>
    <w:rsid w:val="00740447"/>
    <w:rsid w:val="0074397C"/>
    <w:rsid w:val="0074410C"/>
    <w:rsid w:val="00763921"/>
    <w:rsid w:val="007665AC"/>
    <w:rsid w:val="00781DCE"/>
    <w:rsid w:val="00785A87"/>
    <w:rsid w:val="007A07A4"/>
    <w:rsid w:val="007A11E8"/>
    <w:rsid w:val="007D3AE6"/>
    <w:rsid w:val="007D7068"/>
    <w:rsid w:val="007F547B"/>
    <w:rsid w:val="00811486"/>
    <w:rsid w:val="00811EB1"/>
    <w:rsid w:val="00820F6A"/>
    <w:rsid w:val="008300DF"/>
    <w:rsid w:val="00834497"/>
    <w:rsid w:val="00835EF4"/>
    <w:rsid w:val="00847B42"/>
    <w:rsid w:val="00885641"/>
    <w:rsid w:val="008A31D8"/>
    <w:rsid w:val="008C40BF"/>
    <w:rsid w:val="008C78FC"/>
    <w:rsid w:val="008D4D79"/>
    <w:rsid w:val="008E5CD1"/>
    <w:rsid w:val="008F4DD3"/>
    <w:rsid w:val="0093226D"/>
    <w:rsid w:val="00932E51"/>
    <w:rsid w:val="00937F4A"/>
    <w:rsid w:val="009457FD"/>
    <w:rsid w:val="00964823"/>
    <w:rsid w:val="009A22A6"/>
    <w:rsid w:val="009C3FBA"/>
    <w:rsid w:val="009F7551"/>
    <w:rsid w:val="00A05FAA"/>
    <w:rsid w:val="00A06FB7"/>
    <w:rsid w:val="00A10ABA"/>
    <w:rsid w:val="00A124ED"/>
    <w:rsid w:val="00A436DC"/>
    <w:rsid w:val="00A44BC0"/>
    <w:rsid w:val="00A461EC"/>
    <w:rsid w:val="00A47510"/>
    <w:rsid w:val="00A77B05"/>
    <w:rsid w:val="00AC03E4"/>
    <w:rsid w:val="00AE0DAE"/>
    <w:rsid w:val="00AF75D5"/>
    <w:rsid w:val="00B07EAE"/>
    <w:rsid w:val="00B1143D"/>
    <w:rsid w:val="00B11B79"/>
    <w:rsid w:val="00B15635"/>
    <w:rsid w:val="00B15800"/>
    <w:rsid w:val="00B20449"/>
    <w:rsid w:val="00B43798"/>
    <w:rsid w:val="00B51485"/>
    <w:rsid w:val="00B51B77"/>
    <w:rsid w:val="00B54DDB"/>
    <w:rsid w:val="00B703F5"/>
    <w:rsid w:val="00B71335"/>
    <w:rsid w:val="00BD46CB"/>
    <w:rsid w:val="00BD6823"/>
    <w:rsid w:val="00BE1631"/>
    <w:rsid w:val="00BF2345"/>
    <w:rsid w:val="00BF5E45"/>
    <w:rsid w:val="00C155BF"/>
    <w:rsid w:val="00C21CCC"/>
    <w:rsid w:val="00C25812"/>
    <w:rsid w:val="00C259DC"/>
    <w:rsid w:val="00C26FB2"/>
    <w:rsid w:val="00C448FC"/>
    <w:rsid w:val="00C730BF"/>
    <w:rsid w:val="00C73267"/>
    <w:rsid w:val="00C776E1"/>
    <w:rsid w:val="00C801E2"/>
    <w:rsid w:val="00CA2127"/>
    <w:rsid w:val="00CA3979"/>
    <w:rsid w:val="00CA4B71"/>
    <w:rsid w:val="00CA553C"/>
    <w:rsid w:val="00CC3CD2"/>
    <w:rsid w:val="00CD7DEB"/>
    <w:rsid w:val="00CE4F52"/>
    <w:rsid w:val="00CE5AF5"/>
    <w:rsid w:val="00CE7447"/>
    <w:rsid w:val="00CF1286"/>
    <w:rsid w:val="00CF4712"/>
    <w:rsid w:val="00CF7FAC"/>
    <w:rsid w:val="00D07159"/>
    <w:rsid w:val="00D071C7"/>
    <w:rsid w:val="00D1523A"/>
    <w:rsid w:val="00D16E44"/>
    <w:rsid w:val="00D17DBF"/>
    <w:rsid w:val="00D24316"/>
    <w:rsid w:val="00D263F5"/>
    <w:rsid w:val="00D338C5"/>
    <w:rsid w:val="00D53AA0"/>
    <w:rsid w:val="00D7790C"/>
    <w:rsid w:val="00D82784"/>
    <w:rsid w:val="00D87215"/>
    <w:rsid w:val="00D94E1A"/>
    <w:rsid w:val="00DC3ECC"/>
    <w:rsid w:val="00DC700B"/>
    <w:rsid w:val="00DC738E"/>
    <w:rsid w:val="00DE0873"/>
    <w:rsid w:val="00DE68C9"/>
    <w:rsid w:val="00DF2965"/>
    <w:rsid w:val="00DF35F7"/>
    <w:rsid w:val="00E06950"/>
    <w:rsid w:val="00E105D5"/>
    <w:rsid w:val="00E43669"/>
    <w:rsid w:val="00E4392B"/>
    <w:rsid w:val="00E52036"/>
    <w:rsid w:val="00E5380D"/>
    <w:rsid w:val="00E55BB0"/>
    <w:rsid w:val="00E5652A"/>
    <w:rsid w:val="00E56709"/>
    <w:rsid w:val="00E75CA7"/>
    <w:rsid w:val="00E968AC"/>
    <w:rsid w:val="00EA1A65"/>
    <w:rsid w:val="00EB49E5"/>
    <w:rsid w:val="00EC276F"/>
    <w:rsid w:val="00EC62E9"/>
    <w:rsid w:val="00ED6752"/>
    <w:rsid w:val="00ED6A97"/>
    <w:rsid w:val="00ED7E2B"/>
    <w:rsid w:val="00F1098D"/>
    <w:rsid w:val="00F11ED8"/>
    <w:rsid w:val="00F12763"/>
    <w:rsid w:val="00F3328A"/>
    <w:rsid w:val="00F3717C"/>
    <w:rsid w:val="00F72F12"/>
    <w:rsid w:val="00F83804"/>
    <w:rsid w:val="00FC73BD"/>
    <w:rsid w:val="00FD0B9F"/>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7463"/>
  <w15:docId w15:val="{FC73008B-C98D-47BB-B4EA-96949676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DC7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B1CA9"/>
    <w:pPr>
      <w:keepNext/>
      <w:spacing w:after="0" w:line="240" w:lineRule="exact"/>
      <w:jc w:val="center"/>
      <w:outlineLvl w:val="1"/>
    </w:pPr>
    <w:rPr>
      <w:rFonts w:ascii="Arial" w:eastAsia="Times New Roman" w:hAnsi="Arial" w:cs="Arial"/>
      <w:b/>
      <w:bCs/>
      <w:sz w:val="28"/>
      <w:szCs w:val="20"/>
      <w:lang w:eastAsia="en-US"/>
    </w:rPr>
  </w:style>
  <w:style w:type="paragraph" w:styleId="Heading3">
    <w:name w:val="heading 3"/>
    <w:basedOn w:val="Normal"/>
    <w:next w:val="Normal"/>
    <w:link w:val="Heading3Char"/>
    <w:uiPriority w:val="9"/>
    <w:semiHidden/>
    <w:unhideWhenUsed/>
    <w:qFormat/>
    <w:rsid w:val="00DC70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C70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5B1CA9"/>
    <w:rPr>
      <w:rFonts w:ascii="Arial" w:eastAsia="Times New Roman" w:hAnsi="Arial" w:cs="Arial"/>
      <w:b/>
      <w:bCs/>
      <w:sz w:val="28"/>
      <w:szCs w:val="20"/>
      <w:lang w:eastAsia="en-US"/>
    </w:rPr>
  </w:style>
  <w:style w:type="character" w:customStyle="1" w:styleId="Heading8Char">
    <w:name w:val="Heading 8 Char"/>
    <w:basedOn w:val="DefaultParagraphFont"/>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DC700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70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C70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C70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70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700B"/>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102BFE"/>
    <w:rPr>
      <w:sz w:val="16"/>
      <w:szCs w:val="16"/>
    </w:rPr>
  </w:style>
  <w:style w:type="paragraph" w:styleId="CommentText">
    <w:name w:val="annotation text"/>
    <w:basedOn w:val="Normal"/>
    <w:link w:val="CommentTextChar"/>
    <w:uiPriority w:val="99"/>
    <w:semiHidden/>
    <w:unhideWhenUsed/>
    <w:rsid w:val="00102BFE"/>
    <w:pPr>
      <w:spacing w:line="240" w:lineRule="auto"/>
    </w:pPr>
    <w:rPr>
      <w:sz w:val="20"/>
      <w:szCs w:val="20"/>
    </w:rPr>
  </w:style>
  <w:style w:type="character" w:customStyle="1" w:styleId="CommentTextChar">
    <w:name w:val="Comment Text Char"/>
    <w:basedOn w:val="DefaultParagraphFont"/>
    <w:link w:val="CommentText"/>
    <w:uiPriority w:val="99"/>
    <w:semiHidden/>
    <w:rsid w:val="00102BFE"/>
    <w:rPr>
      <w:sz w:val="20"/>
      <w:szCs w:val="20"/>
    </w:rPr>
  </w:style>
  <w:style w:type="paragraph" w:styleId="CommentSubject">
    <w:name w:val="annotation subject"/>
    <w:basedOn w:val="CommentText"/>
    <w:next w:val="CommentText"/>
    <w:link w:val="CommentSubjectChar"/>
    <w:uiPriority w:val="99"/>
    <w:semiHidden/>
    <w:unhideWhenUsed/>
    <w:rsid w:val="00D87215"/>
    <w:rPr>
      <w:b/>
      <w:bCs/>
    </w:rPr>
  </w:style>
  <w:style w:type="character" w:customStyle="1" w:styleId="CommentSubjectChar">
    <w:name w:val="Comment Subject Char"/>
    <w:basedOn w:val="CommentTextChar"/>
    <w:link w:val="CommentSubject"/>
    <w:uiPriority w:val="99"/>
    <w:semiHidden/>
    <w:rsid w:val="00D87215"/>
    <w:rPr>
      <w:b/>
      <w:bCs/>
      <w:sz w:val="20"/>
      <w:szCs w:val="20"/>
    </w:rPr>
  </w:style>
  <w:style w:type="paragraph" w:styleId="Title">
    <w:name w:val="Title"/>
    <w:basedOn w:val="PP07-07-14"/>
    <w:next w:val="Normal"/>
    <w:link w:val="TitleChar"/>
    <w:uiPriority w:val="10"/>
    <w:qFormat/>
    <w:rsid w:val="004A022D"/>
  </w:style>
  <w:style w:type="character" w:customStyle="1" w:styleId="TitleChar">
    <w:name w:val="Title Char"/>
    <w:basedOn w:val="DefaultParagraphFont"/>
    <w:link w:val="Title"/>
    <w:uiPriority w:val="10"/>
    <w:rsid w:val="004A022D"/>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3793B0-6890-4D1A-B51C-E8C2C2412693}">
  <ds:schemaRefs>
    <ds:schemaRef ds:uri="http://schemas.openxmlformats.org/officeDocument/2006/bibliography"/>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6343</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QM-20-01 DHS Claims Certification and Program Integrity</dc:title>
  <dc:creator/>
  <cp:keywords>ADA Version 2026</cp:keywords>
  <cp:lastModifiedBy>Baranski. Nicholas</cp:lastModifiedBy>
  <cp:revision>4</cp:revision>
  <dcterms:created xsi:type="dcterms:W3CDTF">2020-12-24T21:02:00Z</dcterms:created>
  <dcterms:modified xsi:type="dcterms:W3CDTF">2026-07-10T14:04:00Z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